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9D7DE" w14:textId="77777777" w:rsidR="00102292" w:rsidRPr="00077E01" w:rsidRDefault="00102292" w:rsidP="00102292">
      <w:pPr>
        <w:pStyle w:val="Brdtext"/>
      </w:pPr>
    </w:p>
    <w:p w14:paraId="39DB22EF" w14:textId="77777777" w:rsidR="00102292" w:rsidRPr="00077E01" w:rsidRDefault="00102292" w:rsidP="00102292">
      <w:pPr>
        <w:pStyle w:val="Brdtext"/>
      </w:pPr>
      <w:r w:rsidRPr="00077E01">
        <w:br/>
      </w:r>
    </w:p>
    <w:p w14:paraId="26D80903" w14:textId="77777777" w:rsidR="00102292" w:rsidRPr="00077E01" w:rsidRDefault="00102292" w:rsidP="00102292">
      <w:pPr>
        <w:pStyle w:val="Brdtext"/>
      </w:pPr>
    </w:p>
    <w:p w14:paraId="48DE77EE" w14:textId="77777777" w:rsidR="00102292" w:rsidRPr="00077E01" w:rsidRDefault="00102292" w:rsidP="00102292">
      <w:pPr>
        <w:pStyle w:val="Brdtext"/>
      </w:pPr>
    </w:p>
    <w:p w14:paraId="19ABB603" w14:textId="77777777" w:rsidR="00102292" w:rsidRPr="00077E01" w:rsidRDefault="00102292" w:rsidP="00102292">
      <w:pPr>
        <w:pStyle w:val="Brdtext"/>
      </w:pPr>
    </w:p>
    <w:p w14:paraId="6B724EAE" w14:textId="77777777" w:rsidR="00102292" w:rsidRPr="00077E01" w:rsidRDefault="00102292" w:rsidP="00102292">
      <w:pPr>
        <w:pStyle w:val="Brdtext"/>
      </w:pPr>
    </w:p>
    <w:p w14:paraId="1B414EE4" w14:textId="77777777" w:rsidR="00102292" w:rsidRPr="00077E01" w:rsidRDefault="00102292" w:rsidP="00102292">
      <w:pPr>
        <w:pStyle w:val="Undertitel"/>
        <w:suppressAutoHyphens/>
        <w:rPr>
          <w:sz w:val="52"/>
          <w:szCs w:val="48"/>
        </w:rPr>
      </w:pPr>
      <w:r>
        <w:rPr>
          <w:sz w:val="52"/>
          <w:szCs w:val="48"/>
        </w:rPr>
        <w:t>Testprogram</w:t>
      </w:r>
      <w:r w:rsidRPr="00077E01">
        <w:rPr>
          <w:sz w:val="52"/>
          <w:szCs w:val="48"/>
        </w:rPr>
        <w:t xml:space="preserve"> för </w:t>
      </w:r>
      <w:proofErr w:type="spellStart"/>
      <w:r w:rsidRPr="00077E01">
        <w:rPr>
          <w:sz w:val="52"/>
          <w:szCs w:val="48"/>
        </w:rPr>
        <w:t>mFRR</w:t>
      </w:r>
      <w:proofErr w:type="spellEnd"/>
    </w:p>
    <w:p w14:paraId="337C4709" w14:textId="59387398" w:rsidR="00102292" w:rsidRPr="006E4196" w:rsidRDefault="00102292" w:rsidP="00102292">
      <w:pPr>
        <w:autoSpaceDE w:val="0"/>
        <w:autoSpaceDN w:val="0"/>
        <w:spacing w:before="40" w:after="40"/>
        <w:rPr>
          <w:sz w:val="20"/>
        </w:rPr>
      </w:pPr>
      <w:r w:rsidRPr="006E4196">
        <w:rPr>
          <w:sz w:val="20"/>
        </w:rPr>
        <w:t xml:space="preserve">Utgåva: </w:t>
      </w:r>
      <w:r w:rsidR="00680778">
        <w:rPr>
          <w:sz w:val="20"/>
        </w:rPr>
        <w:t>6</w:t>
      </w:r>
      <w:r w:rsidRPr="006E4196">
        <w:rPr>
          <w:sz w:val="20"/>
        </w:rPr>
        <w:t>.</w:t>
      </w:r>
      <w:r w:rsidR="00742C31">
        <w:rPr>
          <w:sz w:val="20"/>
        </w:rPr>
        <w:t>3</w:t>
      </w:r>
    </w:p>
    <w:p w14:paraId="41BE05AD" w14:textId="79BF54A8" w:rsidR="00102292" w:rsidRDefault="00102292" w:rsidP="00102292">
      <w:pPr>
        <w:autoSpaceDE w:val="0"/>
        <w:autoSpaceDN w:val="0"/>
        <w:spacing w:before="40" w:after="40"/>
        <w:rPr>
          <w:rStyle w:val="unicode"/>
          <w:rFonts w:ascii="Cambria Math" w:hAnsi="Cambria Math" w:cs="Cambria Math"/>
          <w:sz w:val="20"/>
        </w:rPr>
      </w:pPr>
      <w:r w:rsidRPr="006E4196">
        <w:rPr>
          <w:sz w:val="20"/>
        </w:rPr>
        <w:t>Gäller fr.o.m.:</w:t>
      </w:r>
      <w:r w:rsidRPr="006E4196">
        <w:rPr>
          <w:rFonts w:ascii="Times New Roman" w:hAnsi="Times New Roman"/>
          <w:sz w:val="24"/>
        </w:rPr>
        <w:t xml:space="preserve"> </w:t>
      </w:r>
      <w:r w:rsidR="00E258FA">
        <w:rPr>
          <w:rStyle w:val="unicode"/>
          <w:rFonts w:ascii="Cambria Math" w:hAnsi="Cambria Math" w:cs="Cambria Math"/>
          <w:sz w:val="20"/>
        </w:rPr>
        <w:t>2025-</w:t>
      </w:r>
      <w:r w:rsidR="008E52D3">
        <w:rPr>
          <w:rStyle w:val="unicode"/>
          <w:rFonts w:ascii="Cambria Math" w:hAnsi="Cambria Math" w:cs="Cambria Math"/>
          <w:sz w:val="20"/>
        </w:rPr>
        <w:t>03-0</w:t>
      </w:r>
      <w:r w:rsidR="0031600D">
        <w:rPr>
          <w:rStyle w:val="unicode"/>
          <w:rFonts w:ascii="Cambria Math" w:hAnsi="Cambria Math" w:cs="Cambria Math"/>
          <w:sz w:val="20"/>
        </w:rPr>
        <w:t>3</w:t>
      </w:r>
    </w:p>
    <w:p w14:paraId="3B45CCC8" w14:textId="7FCDF6F5" w:rsidR="00E258FA" w:rsidRDefault="00E258FA" w:rsidP="00102292">
      <w:pPr>
        <w:autoSpaceDE w:val="0"/>
        <w:autoSpaceDN w:val="0"/>
        <w:spacing w:before="40" w:after="40"/>
        <w:rPr>
          <w:rStyle w:val="unicode"/>
          <w:rFonts w:ascii="Cambria Math" w:hAnsi="Cambria Math" w:cs="Cambria Math"/>
          <w:sz w:val="20"/>
        </w:rPr>
      </w:pPr>
    </w:p>
    <w:p w14:paraId="1B882133" w14:textId="77777777" w:rsidR="00E258FA" w:rsidRPr="00077E01" w:rsidRDefault="00E258FA" w:rsidP="00102292">
      <w:pPr>
        <w:autoSpaceDE w:val="0"/>
        <w:autoSpaceDN w:val="0"/>
        <w:spacing w:before="40" w:after="40"/>
      </w:pPr>
    </w:p>
    <w:p w14:paraId="31EC9CC8" w14:textId="77777777" w:rsidR="00102292" w:rsidRPr="00657C61" w:rsidRDefault="00102292" w:rsidP="00102292">
      <w:pPr>
        <w:pStyle w:val="Brdtext"/>
        <w:rPr>
          <w:b/>
        </w:rPr>
      </w:pPr>
    </w:p>
    <w:p w14:paraId="5D4783D0" w14:textId="77777777" w:rsidR="00102292" w:rsidRPr="00077E01" w:rsidRDefault="00102292" w:rsidP="00102292">
      <w:pPr>
        <w:pStyle w:val="Brdtext"/>
      </w:pPr>
    </w:p>
    <w:p w14:paraId="1B98B6A1" w14:textId="77777777" w:rsidR="00102292" w:rsidRPr="00077E01" w:rsidRDefault="00102292" w:rsidP="00102292">
      <w:pPr>
        <w:pStyle w:val="RubInnehll"/>
        <w:sectPr w:rsidR="00102292" w:rsidRPr="00077E01" w:rsidSect="00102292">
          <w:headerReference w:type="default" r:id="rId8"/>
          <w:headerReference w:type="first" r:id="rId9"/>
          <w:pgSz w:w="11906" w:h="16838" w:code="9"/>
          <w:pgMar w:top="2586" w:right="2268" w:bottom="1418" w:left="2268" w:header="567" w:footer="567" w:gutter="0"/>
          <w:cols w:space="708"/>
          <w:titlePg/>
          <w:docGrid w:linePitch="360"/>
        </w:sectPr>
      </w:pPr>
    </w:p>
    <w:p w14:paraId="4CA2FFD3" w14:textId="77777777" w:rsidR="00102292" w:rsidRPr="00077E01" w:rsidRDefault="00102292" w:rsidP="00102292">
      <w:pPr>
        <w:pStyle w:val="Rubrik1"/>
        <w:ind w:left="737" w:hanging="737"/>
      </w:pPr>
      <w:r w:rsidRPr="00077E01">
        <w:lastRenderedPageBreak/>
        <w:t>Inledning</w:t>
      </w:r>
    </w:p>
    <w:p w14:paraId="243D2A7B" w14:textId="77777777" w:rsidR="00102292" w:rsidRPr="00480BC7" w:rsidRDefault="00102292" w:rsidP="00102292">
      <w:pPr>
        <w:pStyle w:val="Brdtext"/>
        <w:suppressAutoHyphens/>
        <w:rPr>
          <w:rFonts w:asciiTheme="minorHAnsi" w:hAnsiTheme="minorHAnsi"/>
        </w:rPr>
      </w:pPr>
      <w:r w:rsidRPr="00480BC7">
        <w:rPr>
          <w:rFonts w:asciiTheme="minorHAnsi" w:hAnsiTheme="minorHAnsi"/>
        </w:rPr>
        <w:t xml:space="preserve">Detta dokument beskriver de tester som erfordras för att verifiera att enheter som tillhandahåller </w:t>
      </w:r>
      <w:proofErr w:type="spellStart"/>
      <w:r w:rsidRPr="00480BC7">
        <w:rPr>
          <w:rFonts w:asciiTheme="minorHAnsi" w:hAnsiTheme="minorHAnsi"/>
        </w:rPr>
        <w:t>mFRR</w:t>
      </w:r>
      <w:proofErr w:type="spellEnd"/>
      <w:r w:rsidRPr="00480BC7">
        <w:rPr>
          <w:rFonts w:asciiTheme="minorHAnsi" w:hAnsiTheme="minorHAnsi"/>
        </w:rPr>
        <w:t xml:space="preserve"> uppfyller ställda krav. Detta dokument fungerar också som en mall för testprogram.</w:t>
      </w:r>
    </w:p>
    <w:p w14:paraId="59936894" w14:textId="77777777" w:rsidR="00102292" w:rsidRDefault="00102292" w:rsidP="00102292">
      <w:pPr>
        <w:rPr>
          <w:sz w:val="20"/>
        </w:rPr>
      </w:pPr>
      <w:r>
        <w:br w:type="page"/>
      </w:r>
    </w:p>
    <w:p w14:paraId="071FE2F1" w14:textId="77777777" w:rsidR="00102292" w:rsidRDefault="00102292" w:rsidP="00102292">
      <w:pPr>
        <w:pStyle w:val="Rubrik1"/>
        <w:numPr>
          <w:ilvl w:val="0"/>
          <w:numId w:val="15"/>
        </w:numPr>
      </w:pPr>
      <w:r>
        <w:lastRenderedPageBreak/>
        <w:t>Planering av förkvalificering</w:t>
      </w:r>
    </w:p>
    <w:p w14:paraId="6D51DD9D" w14:textId="2DF7015A" w:rsidR="00102292" w:rsidRPr="00480BC7" w:rsidRDefault="00102292" w:rsidP="00102292">
      <w:pPr>
        <w:pStyle w:val="Brdtext"/>
        <w:rPr>
          <w:rFonts w:asciiTheme="minorHAnsi" w:hAnsiTheme="minorHAnsi"/>
        </w:rPr>
      </w:pPr>
      <w:r w:rsidRPr="00480BC7">
        <w:rPr>
          <w:rFonts w:asciiTheme="minorHAnsi" w:hAnsiTheme="minorHAnsi"/>
        </w:rPr>
        <w:t xml:space="preserve">Inför förkvalificeringstester bör följande punkter säkerställas av det ansökande företaget. Vid behov ska kontakt med </w:t>
      </w:r>
      <w:proofErr w:type="gramStart"/>
      <w:r w:rsidRPr="00480BC7">
        <w:rPr>
          <w:rFonts w:asciiTheme="minorHAnsi" w:hAnsiTheme="minorHAnsi"/>
        </w:rPr>
        <w:t>Svenska</w:t>
      </w:r>
      <w:proofErr w:type="gramEnd"/>
      <w:r w:rsidRPr="00480BC7">
        <w:rPr>
          <w:rFonts w:asciiTheme="minorHAnsi" w:hAnsiTheme="minorHAnsi"/>
        </w:rPr>
        <w:t xml:space="preserve"> kraftnät etableras i god tid. </w:t>
      </w:r>
    </w:p>
    <w:p w14:paraId="78AFB45C" w14:textId="63A04E5B" w:rsidR="00102292" w:rsidRPr="00480BC7" w:rsidRDefault="00102292" w:rsidP="00102292">
      <w:pPr>
        <w:pStyle w:val="Punktlista"/>
        <w:rPr>
          <w:rFonts w:asciiTheme="minorHAnsi" w:hAnsiTheme="minorHAnsi"/>
        </w:rPr>
      </w:pPr>
      <w:r w:rsidRPr="00480BC7">
        <w:rPr>
          <w:rFonts w:asciiTheme="minorHAnsi" w:hAnsiTheme="minorHAnsi"/>
        </w:rPr>
        <w:t xml:space="preserve">Ta del av gällande regelverk beskrivet </w:t>
      </w:r>
      <w:r w:rsidR="005525A1">
        <w:rPr>
          <w:rFonts w:asciiTheme="minorHAnsi" w:hAnsiTheme="minorHAnsi"/>
        </w:rPr>
        <w:t>i</w:t>
      </w:r>
      <w:r w:rsidR="00647D16">
        <w:rPr>
          <w:rFonts w:asciiTheme="minorHAnsi" w:hAnsiTheme="minorHAnsi"/>
        </w:rPr>
        <w:t xml:space="preserve"> </w:t>
      </w:r>
      <w:r w:rsidR="00E4696B">
        <w:t>A</w:t>
      </w:r>
      <w:r w:rsidR="00647D16" w:rsidRPr="005C62AB">
        <w:t xml:space="preserve">vtal om leverans av </w:t>
      </w:r>
      <w:proofErr w:type="gramStart"/>
      <w:r w:rsidR="00647D16" w:rsidRPr="005C62AB">
        <w:t xml:space="preserve">balanstjänster </w:t>
      </w:r>
      <w:r w:rsidRPr="00480BC7">
        <w:rPr>
          <w:rFonts w:asciiTheme="minorHAnsi" w:hAnsiTheme="minorHAnsi"/>
        </w:rPr>
        <w:t xml:space="preserve"> med</w:t>
      </w:r>
      <w:proofErr w:type="gramEnd"/>
      <w:r w:rsidRPr="00480BC7">
        <w:rPr>
          <w:rFonts w:asciiTheme="minorHAnsi" w:hAnsiTheme="minorHAnsi"/>
        </w:rPr>
        <w:t xml:space="preserve"> tillhörande bilag</w:t>
      </w:r>
      <w:r w:rsidR="00647D16">
        <w:rPr>
          <w:rFonts w:asciiTheme="minorHAnsi" w:hAnsiTheme="minorHAnsi"/>
        </w:rPr>
        <w:t>or</w:t>
      </w:r>
      <w:r w:rsidRPr="00480BC7">
        <w:rPr>
          <w:rFonts w:asciiTheme="minorHAnsi" w:hAnsiTheme="minorHAnsi"/>
        </w:rPr>
        <w:t xml:space="preserve">. </w:t>
      </w:r>
    </w:p>
    <w:p w14:paraId="07A73605" w14:textId="77777777" w:rsidR="00102292" w:rsidRPr="00480BC7" w:rsidRDefault="00102292" w:rsidP="00102292">
      <w:pPr>
        <w:pStyle w:val="Punktlista"/>
        <w:rPr>
          <w:rFonts w:asciiTheme="minorHAnsi" w:hAnsiTheme="minorHAnsi"/>
        </w:rPr>
      </w:pPr>
      <w:r w:rsidRPr="00480BC7">
        <w:rPr>
          <w:rFonts w:asciiTheme="minorHAnsi" w:hAnsiTheme="minorHAnsi"/>
        </w:rPr>
        <w:t xml:space="preserve">Säkerställ att senaste versioner av samtliga dokument används. Information och dokument hittas på </w:t>
      </w:r>
      <w:proofErr w:type="gramStart"/>
      <w:r w:rsidRPr="00480BC7">
        <w:rPr>
          <w:rFonts w:asciiTheme="minorHAnsi" w:hAnsiTheme="minorHAnsi"/>
        </w:rPr>
        <w:t>Svenska</w:t>
      </w:r>
      <w:proofErr w:type="gramEnd"/>
      <w:r w:rsidRPr="00480BC7">
        <w:rPr>
          <w:rFonts w:asciiTheme="minorHAnsi" w:hAnsiTheme="minorHAnsi"/>
        </w:rPr>
        <w:t xml:space="preserve"> kraftnäts hemsida. </w:t>
      </w:r>
    </w:p>
    <w:p w14:paraId="34D01663" w14:textId="77777777" w:rsidR="00102292" w:rsidRPr="00480BC7" w:rsidRDefault="00102292" w:rsidP="00102292">
      <w:pPr>
        <w:pStyle w:val="Punktlista"/>
        <w:rPr>
          <w:rFonts w:asciiTheme="minorHAnsi" w:hAnsiTheme="minorHAnsi"/>
        </w:rPr>
      </w:pPr>
      <w:r w:rsidRPr="00480BC7">
        <w:rPr>
          <w:rFonts w:asciiTheme="minorHAnsi" w:hAnsiTheme="minorHAnsi"/>
        </w:rPr>
        <w:t xml:space="preserve">Säkerställ att den information som efterfrågas i ansökningsformuläret finns att tillgå. </w:t>
      </w:r>
    </w:p>
    <w:p w14:paraId="2DF7B320" w14:textId="506E4F4F" w:rsidR="00102292" w:rsidRPr="00480BC7" w:rsidRDefault="00102292" w:rsidP="00102292">
      <w:pPr>
        <w:pStyle w:val="Punktlista"/>
        <w:rPr>
          <w:rFonts w:asciiTheme="minorHAnsi" w:hAnsiTheme="minorHAnsi"/>
        </w:rPr>
      </w:pPr>
      <w:r w:rsidRPr="00480BC7">
        <w:rPr>
          <w:rFonts w:asciiTheme="minorHAnsi" w:hAnsiTheme="minorHAnsi"/>
        </w:rPr>
        <w:t xml:space="preserve">Svenska kraftnät har rätt att skicka en observatör till testen. </w:t>
      </w:r>
      <w:r w:rsidR="00150A54">
        <w:rPr>
          <w:rFonts w:asciiTheme="minorHAnsi" w:hAnsiTheme="minorHAnsi"/>
        </w:rPr>
        <w:t xml:space="preserve">Ansvarig hos </w:t>
      </w:r>
      <w:proofErr w:type="gramStart"/>
      <w:r w:rsidR="00150A54">
        <w:rPr>
          <w:rFonts w:asciiTheme="minorHAnsi" w:hAnsiTheme="minorHAnsi"/>
        </w:rPr>
        <w:t>Svenska</w:t>
      </w:r>
      <w:proofErr w:type="gramEnd"/>
      <w:r w:rsidR="00150A54">
        <w:rPr>
          <w:rFonts w:asciiTheme="minorHAnsi" w:hAnsiTheme="minorHAnsi"/>
        </w:rPr>
        <w:t xml:space="preserve"> kraftnät kan be leverantören att flytta testtillfället för att deltagande ska kunna vara möjligt för Svenska kraftnäts observatör. </w:t>
      </w:r>
      <w:r w:rsidRPr="00480BC7">
        <w:rPr>
          <w:rFonts w:asciiTheme="minorHAnsi" w:hAnsiTheme="minorHAnsi"/>
        </w:rPr>
        <w:t>Leverantören ansvarar för upplupna kostnader under testet och ska tillhandahålla erforderlig utrustning. Svenska kraftnät ansvarar endast för sina egna kostnader.</w:t>
      </w:r>
    </w:p>
    <w:p w14:paraId="129FA054" w14:textId="6ED09E1B" w:rsidR="00102292" w:rsidRDefault="00102292" w:rsidP="00102292">
      <w:pPr>
        <w:pStyle w:val="Punktlista"/>
        <w:rPr>
          <w:rFonts w:asciiTheme="minorHAnsi" w:hAnsiTheme="minorHAnsi"/>
        </w:rPr>
      </w:pPr>
      <w:r w:rsidRPr="00480BC7">
        <w:rPr>
          <w:rFonts w:asciiTheme="minorHAnsi" w:hAnsiTheme="minorHAnsi"/>
        </w:rPr>
        <w:t xml:space="preserve">Säkerställ att eventuella begränsningar har godkänts av </w:t>
      </w:r>
      <w:proofErr w:type="gramStart"/>
      <w:r w:rsidRPr="00480BC7">
        <w:rPr>
          <w:rFonts w:asciiTheme="minorHAnsi" w:hAnsiTheme="minorHAnsi"/>
        </w:rPr>
        <w:t>Svenska</w:t>
      </w:r>
      <w:proofErr w:type="gramEnd"/>
      <w:r w:rsidRPr="00480BC7">
        <w:rPr>
          <w:rFonts w:asciiTheme="minorHAnsi" w:hAnsiTheme="minorHAnsi"/>
        </w:rPr>
        <w:t xml:space="preserve"> kraftnät innan test inleds. </w:t>
      </w:r>
    </w:p>
    <w:p w14:paraId="544E54B7" w14:textId="3C815FE6" w:rsidR="00493242" w:rsidRPr="00493242" w:rsidRDefault="00493242" w:rsidP="00493242">
      <w:pPr>
        <w:pStyle w:val="Punktlista"/>
      </w:pPr>
      <w:r w:rsidRPr="00493242">
        <w:t xml:space="preserve">Bestäm vilket kapacitetsintervall som enheten eller gruppen ska </w:t>
      </w:r>
      <w:proofErr w:type="spellStart"/>
      <w:r w:rsidRPr="00493242">
        <w:t>förkvalificeras</w:t>
      </w:r>
      <w:proofErr w:type="spellEnd"/>
      <w:r w:rsidRPr="00493242">
        <w:t xml:space="preserve"> för. Notera att separata tester ska utföras för respektive ändpunkter i intervallet. Om bara en kapacitet testas får leverans endast ske på den nivån.</w:t>
      </w:r>
    </w:p>
    <w:p w14:paraId="5A622143" w14:textId="71C7C88E" w:rsidR="00FF1395" w:rsidRPr="008E52D3" w:rsidRDefault="00102292" w:rsidP="005525A1">
      <w:pPr>
        <w:pStyle w:val="Punktlista"/>
      </w:pPr>
      <w:r w:rsidRPr="00480BC7">
        <w:rPr>
          <w:rFonts w:asciiTheme="minorHAnsi" w:hAnsiTheme="minorHAnsi"/>
        </w:rPr>
        <w:t xml:space="preserve">Kontrollera att nedanstående data kan registreras kontinuerligt under leverans. </w:t>
      </w:r>
    </w:p>
    <w:p w14:paraId="1865E6A6" w14:textId="476918F3" w:rsidR="008E52D3" w:rsidRDefault="008E52D3" w:rsidP="005525A1">
      <w:pPr>
        <w:pStyle w:val="Punktlista"/>
      </w:pPr>
      <w:r>
        <w:rPr>
          <w:rFonts w:asciiTheme="minorHAnsi" w:hAnsiTheme="minorHAnsi"/>
        </w:rPr>
        <w:t xml:space="preserve">Vid test av kapacitet från 50 MW ska </w:t>
      </w:r>
      <w:proofErr w:type="gramStart"/>
      <w:r>
        <w:rPr>
          <w:rFonts w:asciiTheme="minorHAnsi" w:hAnsiTheme="minorHAnsi"/>
        </w:rPr>
        <w:t>Svenska</w:t>
      </w:r>
      <w:proofErr w:type="gramEnd"/>
      <w:r>
        <w:rPr>
          <w:rFonts w:asciiTheme="minorHAnsi" w:hAnsiTheme="minorHAnsi"/>
        </w:rPr>
        <w:t xml:space="preserve"> kraftnät informeras </w:t>
      </w:r>
      <w:r w:rsidR="0031600D">
        <w:rPr>
          <w:rFonts w:asciiTheme="minorHAnsi" w:hAnsiTheme="minorHAnsi"/>
        </w:rPr>
        <w:t xml:space="preserve">en vecka </w:t>
      </w:r>
      <w:r>
        <w:rPr>
          <w:rFonts w:asciiTheme="minorHAnsi" w:hAnsiTheme="minorHAnsi"/>
        </w:rPr>
        <w:t xml:space="preserve">i förväg. Se mer information på sidan </w:t>
      </w:r>
      <w:hyperlink r:id="rId10" w:history="1">
        <w:r w:rsidRPr="008E52D3">
          <w:rPr>
            <w:color w:val="0000FF"/>
            <w:sz w:val="19"/>
            <w:u w:val="single"/>
          </w:rPr>
          <w:t>Förkvalificering | Svenska kraftnät</w:t>
        </w:r>
      </w:hyperlink>
    </w:p>
    <w:p w14:paraId="415362FE" w14:textId="5D61D242" w:rsidR="00096D44" w:rsidRDefault="00096D44" w:rsidP="00096D44">
      <w:pPr>
        <w:pStyle w:val="Beskrivning"/>
        <w:keepNext/>
      </w:pPr>
      <w:r>
        <w:t xml:space="preserve">Tabell </w:t>
      </w:r>
      <w:fldSimple w:instr=" SEQ Tabell \* ARABIC ">
        <w:r>
          <w:rPr>
            <w:noProof/>
          </w:rPr>
          <w:t>1</w:t>
        </w:r>
      </w:fldSimple>
      <w:r>
        <w:t>. Krav på mätnoggrannhet för aktiv effekt.</w:t>
      </w:r>
    </w:p>
    <w:tbl>
      <w:tblPr>
        <w:tblStyle w:val="SvKTabellformat"/>
        <w:tblW w:w="0" w:type="auto"/>
        <w:tblLook w:val="04A0" w:firstRow="1" w:lastRow="0" w:firstColumn="1" w:lastColumn="0" w:noHBand="0" w:noVBand="1"/>
      </w:tblPr>
      <w:tblGrid>
        <w:gridCol w:w="2035"/>
        <w:gridCol w:w="1134"/>
        <w:gridCol w:w="1733"/>
        <w:gridCol w:w="1669"/>
      </w:tblGrid>
      <w:tr w:rsidR="00FF1395" w:rsidRPr="00D56BB9" w14:paraId="51B7E125" w14:textId="77777777" w:rsidTr="003160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035" w:type="dxa"/>
          </w:tcPr>
          <w:p w14:paraId="01A2E082" w14:textId="2FF777C8" w:rsidR="00FF1395" w:rsidRPr="0017425C" w:rsidRDefault="0017425C" w:rsidP="00B11038">
            <w:pPr>
              <w:pStyle w:val="Tabelltext"/>
              <w:rPr>
                <w:rFonts w:asciiTheme="minorHAnsi" w:hAnsiTheme="minorHAnsi"/>
                <w:b/>
                <w:szCs w:val="20"/>
              </w:rPr>
            </w:pPr>
            <w:r w:rsidRPr="0017425C">
              <w:rPr>
                <w:rFonts w:asciiTheme="minorHAnsi" w:hAnsiTheme="minorHAnsi"/>
                <w:b/>
                <w:sz w:val="20"/>
                <w:szCs w:val="20"/>
              </w:rPr>
              <w:t>Storhet</w:t>
            </w:r>
          </w:p>
        </w:tc>
        <w:tc>
          <w:tcPr>
            <w:tcW w:w="1134" w:type="dxa"/>
          </w:tcPr>
          <w:p w14:paraId="608B948C" w14:textId="77777777" w:rsidR="00FF1395" w:rsidRPr="0017425C" w:rsidRDefault="00FF1395" w:rsidP="00B11038">
            <w:pPr>
              <w:pStyle w:val="Tabelltext"/>
              <w:rPr>
                <w:rFonts w:asciiTheme="minorHAnsi" w:hAnsiTheme="minorHAnsi"/>
                <w:b/>
                <w:sz w:val="20"/>
                <w:szCs w:val="20"/>
              </w:rPr>
            </w:pPr>
            <w:r w:rsidRPr="0017425C">
              <w:rPr>
                <w:rFonts w:asciiTheme="minorHAnsi" w:hAnsiTheme="minorHAnsi"/>
                <w:b/>
                <w:sz w:val="20"/>
                <w:szCs w:val="20"/>
              </w:rPr>
              <w:t>Kategori</w:t>
            </w:r>
          </w:p>
        </w:tc>
        <w:tc>
          <w:tcPr>
            <w:tcW w:w="1733" w:type="dxa"/>
          </w:tcPr>
          <w:p w14:paraId="65CE96F9" w14:textId="77777777" w:rsidR="00FF1395" w:rsidRPr="0017425C" w:rsidRDefault="00FF1395" w:rsidP="00B11038">
            <w:pPr>
              <w:pStyle w:val="Tabelltext"/>
              <w:rPr>
                <w:rFonts w:asciiTheme="minorHAnsi" w:hAnsiTheme="minorHAnsi"/>
                <w:b/>
                <w:sz w:val="20"/>
                <w:szCs w:val="20"/>
                <w:vertAlign w:val="superscript"/>
              </w:rPr>
            </w:pPr>
            <w:r w:rsidRPr="0017425C">
              <w:rPr>
                <w:rFonts w:asciiTheme="minorHAnsi" w:hAnsiTheme="minorHAnsi"/>
                <w:b/>
                <w:sz w:val="20"/>
                <w:szCs w:val="20"/>
              </w:rPr>
              <w:t>Märkeffekt</w:t>
            </w:r>
            <w:r w:rsidRPr="0017425C">
              <w:rPr>
                <w:rStyle w:val="Fotnotsreferens"/>
                <w:b/>
                <w:sz w:val="20"/>
                <w:szCs w:val="20"/>
              </w:rPr>
              <w:footnoteReference w:id="1"/>
            </w:r>
          </w:p>
        </w:tc>
        <w:tc>
          <w:tcPr>
            <w:tcW w:w="1669" w:type="dxa"/>
          </w:tcPr>
          <w:p w14:paraId="4182CB23" w14:textId="77777777" w:rsidR="00FF1395" w:rsidRPr="0017425C" w:rsidRDefault="00FF1395" w:rsidP="00B11038">
            <w:pPr>
              <w:pStyle w:val="Tabelltext"/>
              <w:rPr>
                <w:rFonts w:asciiTheme="minorHAnsi" w:hAnsiTheme="minorHAnsi"/>
                <w:b/>
                <w:szCs w:val="20"/>
              </w:rPr>
            </w:pPr>
            <w:r w:rsidRPr="0017425C">
              <w:rPr>
                <w:rFonts w:asciiTheme="minorHAnsi" w:hAnsiTheme="minorHAnsi"/>
                <w:b/>
                <w:sz w:val="20"/>
                <w:szCs w:val="20"/>
              </w:rPr>
              <w:t>Noggrannhet</w:t>
            </w:r>
          </w:p>
        </w:tc>
      </w:tr>
      <w:tr w:rsidR="00FF1395" w:rsidRPr="00D56BB9" w14:paraId="4A803F7D" w14:textId="77777777" w:rsidTr="0031600D">
        <w:tc>
          <w:tcPr>
            <w:tcW w:w="2035" w:type="dxa"/>
            <w:vMerge w:val="restart"/>
          </w:tcPr>
          <w:p w14:paraId="164523B5" w14:textId="4CC117A3" w:rsidR="00FF1395" w:rsidRPr="00680778" w:rsidRDefault="0017425C" w:rsidP="0017425C">
            <w:pPr>
              <w:pStyle w:val="Brdtext"/>
              <w:keepNext/>
              <w:keepLines/>
              <w:spacing w:after="0" w:line="240" w:lineRule="auto"/>
              <w:rPr>
                <w:rFonts w:asciiTheme="minorHAnsi" w:hAnsiTheme="minorHAnsi"/>
                <w:szCs w:val="20"/>
              </w:rPr>
            </w:pPr>
            <w:r w:rsidRPr="00680778">
              <w:rPr>
                <w:rFonts w:asciiTheme="minorHAnsi" w:hAnsiTheme="minorHAnsi"/>
                <w:szCs w:val="20"/>
              </w:rPr>
              <w:t>A</w:t>
            </w:r>
            <w:r w:rsidR="00FF1395" w:rsidRPr="00680778">
              <w:rPr>
                <w:rFonts w:asciiTheme="minorHAnsi" w:hAnsiTheme="minorHAnsi"/>
                <w:szCs w:val="20"/>
              </w:rPr>
              <w:t>ktiv effekt</w:t>
            </w:r>
          </w:p>
        </w:tc>
        <w:tc>
          <w:tcPr>
            <w:tcW w:w="1134" w:type="dxa"/>
          </w:tcPr>
          <w:p w14:paraId="7577935E" w14:textId="5D7D9BCD" w:rsidR="00FF1395" w:rsidRPr="00680778" w:rsidRDefault="0017425C" w:rsidP="0017425C">
            <w:pPr>
              <w:pStyle w:val="Brdtext"/>
              <w:keepNext/>
              <w:keepLines/>
              <w:spacing w:after="0" w:line="240" w:lineRule="auto"/>
              <w:rPr>
                <w:rFonts w:asciiTheme="minorHAnsi" w:hAnsiTheme="minorHAnsi"/>
                <w:szCs w:val="20"/>
              </w:rPr>
            </w:pPr>
            <w:r w:rsidRPr="00680778">
              <w:rPr>
                <w:rFonts w:asciiTheme="minorHAnsi" w:hAnsiTheme="minorHAnsi"/>
                <w:szCs w:val="20"/>
              </w:rPr>
              <w:t>A</w:t>
            </w:r>
          </w:p>
        </w:tc>
        <w:tc>
          <w:tcPr>
            <w:tcW w:w="1733" w:type="dxa"/>
          </w:tcPr>
          <w:p w14:paraId="075D7B55" w14:textId="5CFF4E35" w:rsidR="00FF1395" w:rsidRPr="00680778" w:rsidRDefault="0017425C" w:rsidP="0017425C">
            <w:pPr>
              <w:pStyle w:val="Brdtext"/>
              <w:keepNext/>
              <w:keepLines/>
              <w:spacing w:after="0" w:line="240" w:lineRule="auto"/>
              <w:rPr>
                <w:rFonts w:asciiTheme="minorHAnsi" w:hAnsiTheme="minorHAnsi"/>
                <w:szCs w:val="20"/>
              </w:rPr>
            </w:pPr>
            <w:r w:rsidRPr="00680778">
              <w:rPr>
                <w:rFonts w:asciiTheme="minorHAnsi" w:hAnsiTheme="minorHAnsi"/>
                <w:szCs w:val="20"/>
              </w:rPr>
              <w:t xml:space="preserve">P </w:t>
            </w:r>
            <w:proofErr w:type="gramStart"/>
            <w:r w:rsidRPr="00680778">
              <w:rPr>
                <w:rFonts w:asciiTheme="minorHAnsi" w:hAnsiTheme="minorHAnsi"/>
                <w:szCs w:val="20"/>
              </w:rPr>
              <w:t>&lt; 1</w:t>
            </w:r>
            <w:proofErr w:type="gramEnd"/>
            <w:r w:rsidRPr="00680778">
              <w:rPr>
                <w:rFonts w:asciiTheme="minorHAnsi" w:hAnsiTheme="minorHAnsi"/>
                <w:szCs w:val="20"/>
              </w:rPr>
              <w:t>,5</w:t>
            </w:r>
            <w:r w:rsidR="00FF1395" w:rsidRPr="00680778">
              <w:rPr>
                <w:rFonts w:asciiTheme="minorHAnsi" w:hAnsiTheme="minorHAnsi"/>
                <w:szCs w:val="20"/>
              </w:rPr>
              <w:t xml:space="preserve"> MW</w:t>
            </w:r>
          </w:p>
        </w:tc>
        <w:tc>
          <w:tcPr>
            <w:tcW w:w="1669" w:type="dxa"/>
          </w:tcPr>
          <w:p w14:paraId="28511ADC" w14:textId="77777777" w:rsidR="00FF1395" w:rsidRPr="00680778" w:rsidRDefault="00FF1395" w:rsidP="0017425C">
            <w:pPr>
              <w:pStyle w:val="Brdtext"/>
              <w:keepNext/>
              <w:keepLines/>
              <w:spacing w:after="0" w:line="240" w:lineRule="auto"/>
              <w:rPr>
                <w:rFonts w:asciiTheme="minorHAnsi" w:hAnsiTheme="minorHAnsi"/>
                <w:szCs w:val="20"/>
              </w:rPr>
            </w:pPr>
            <w:r w:rsidRPr="00680778">
              <w:rPr>
                <w:rFonts w:asciiTheme="minorHAnsi" w:hAnsiTheme="minorHAnsi"/>
                <w:szCs w:val="20"/>
              </w:rPr>
              <w:t>5 %</w:t>
            </w:r>
          </w:p>
        </w:tc>
      </w:tr>
      <w:tr w:rsidR="0017425C" w:rsidRPr="00D56BB9" w14:paraId="7AA2FEDD" w14:textId="77777777" w:rsidTr="0031600D">
        <w:tc>
          <w:tcPr>
            <w:tcW w:w="2035" w:type="dxa"/>
            <w:vMerge/>
          </w:tcPr>
          <w:p w14:paraId="351088E2" w14:textId="77777777" w:rsidR="0017425C" w:rsidRPr="00680778" w:rsidRDefault="0017425C" w:rsidP="0017425C">
            <w:pPr>
              <w:pStyle w:val="Brdtext"/>
              <w:keepNext/>
              <w:keepLines/>
              <w:spacing w:after="0" w:line="240" w:lineRule="auto"/>
              <w:rPr>
                <w:rFonts w:asciiTheme="minorHAnsi" w:hAnsiTheme="minorHAnsi"/>
                <w:szCs w:val="20"/>
              </w:rPr>
            </w:pPr>
          </w:p>
        </w:tc>
        <w:tc>
          <w:tcPr>
            <w:tcW w:w="1134" w:type="dxa"/>
          </w:tcPr>
          <w:p w14:paraId="56602436" w14:textId="4289D14A" w:rsidR="0017425C" w:rsidRPr="00680778" w:rsidRDefault="0017425C" w:rsidP="0017425C">
            <w:pPr>
              <w:pStyle w:val="Brdtext"/>
              <w:keepNext/>
              <w:keepLines/>
              <w:spacing w:after="0" w:line="240" w:lineRule="auto"/>
              <w:rPr>
                <w:rFonts w:asciiTheme="minorHAnsi" w:hAnsiTheme="minorHAnsi"/>
                <w:szCs w:val="20"/>
              </w:rPr>
            </w:pPr>
            <w:r w:rsidRPr="00680778">
              <w:rPr>
                <w:rFonts w:asciiTheme="minorHAnsi" w:hAnsiTheme="minorHAnsi"/>
                <w:szCs w:val="20"/>
              </w:rPr>
              <w:t>B</w:t>
            </w:r>
          </w:p>
        </w:tc>
        <w:tc>
          <w:tcPr>
            <w:tcW w:w="1733" w:type="dxa"/>
            <w:vAlign w:val="center"/>
          </w:tcPr>
          <w:p w14:paraId="415A0ADA" w14:textId="7D4686FF" w:rsidR="0017425C" w:rsidRPr="00680778" w:rsidRDefault="0017425C" w:rsidP="0017425C">
            <w:pPr>
              <w:pStyle w:val="Brdtext"/>
              <w:keepNext/>
              <w:keepLines/>
              <w:spacing w:after="0" w:line="240" w:lineRule="auto"/>
              <w:rPr>
                <w:rFonts w:asciiTheme="minorHAnsi" w:hAnsiTheme="minorHAnsi"/>
                <w:szCs w:val="20"/>
              </w:rPr>
            </w:pPr>
            <w:r w:rsidRPr="00680778">
              <w:rPr>
                <w:rFonts w:asciiTheme="minorHAnsi" w:hAnsiTheme="minorHAnsi"/>
                <w:szCs w:val="20"/>
              </w:rPr>
              <w:t xml:space="preserve">1,5 </w:t>
            </w:r>
            <m:oMath>
              <m:r>
                <m:rPr>
                  <m:sty m:val="p"/>
                </m:rPr>
                <w:rPr>
                  <w:rFonts w:ascii="Cambria Math" w:hAnsi="Cambria Math"/>
                  <w:szCs w:val="20"/>
                </w:rPr>
                <m:t>≤</m:t>
              </m:r>
            </m:oMath>
            <w:r w:rsidRPr="00680778">
              <w:rPr>
                <w:rFonts w:asciiTheme="minorHAnsi" w:hAnsiTheme="minorHAnsi"/>
                <w:szCs w:val="20"/>
              </w:rPr>
              <w:t xml:space="preserve"> P </w:t>
            </w:r>
            <w:proofErr w:type="gramStart"/>
            <w:r w:rsidRPr="00680778">
              <w:rPr>
                <w:rFonts w:asciiTheme="minorHAnsi" w:hAnsiTheme="minorHAnsi"/>
                <w:szCs w:val="20"/>
              </w:rPr>
              <w:t>&lt; 10</w:t>
            </w:r>
            <w:proofErr w:type="gramEnd"/>
            <w:r w:rsidRPr="00680778">
              <w:rPr>
                <w:rFonts w:asciiTheme="minorHAnsi" w:hAnsiTheme="minorHAnsi"/>
                <w:szCs w:val="20"/>
              </w:rPr>
              <w:t xml:space="preserve"> MW</w:t>
            </w:r>
          </w:p>
        </w:tc>
        <w:tc>
          <w:tcPr>
            <w:tcW w:w="1669" w:type="dxa"/>
          </w:tcPr>
          <w:p w14:paraId="365F21DD" w14:textId="77777777" w:rsidR="0017425C" w:rsidRPr="00680778" w:rsidRDefault="0017425C" w:rsidP="0017425C">
            <w:pPr>
              <w:pStyle w:val="Brdtext"/>
              <w:keepNext/>
              <w:keepLines/>
              <w:spacing w:after="0" w:line="240" w:lineRule="auto"/>
              <w:rPr>
                <w:rFonts w:asciiTheme="minorHAnsi" w:hAnsiTheme="minorHAnsi"/>
                <w:szCs w:val="20"/>
              </w:rPr>
            </w:pPr>
            <w:r w:rsidRPr="00680778">
              <w:rPr>
                <w:rFonts w:asciiTheme="minorHAnsi" w:hAnsiTheme="minorHAnsi"/>
                <w:szCs w:val="20"/>
              </w:rPr>
              <w:t>1 %</w:t>
            </w:r>
          </w:p>
        </w:tc>
      </w:tr>
      <w:tr w:rsidR="0017425C" w:rsidRPr="00D56BB9" w14:paraId="11F01D36" w14:textId="77777777" w:rsidTr="0031600D">
        <w:tc>
          <w:tcPr>
            <w:tcW w:w="2035" w:type="dxa"/>
            <w:vMerge/>
          </w:tcPr>
          <w:p w14:paraId="5A184D7C" w14:textId="77777777" w:rsidR="0017425C" w:rsidRPr="00680778" w:rsidRDefault="0017425C" w:rsidP="0017425C">
            <w:pPr>
              <w:pStyle w:val="Brdtext"/>
              <w:keepNext/>
              <w:keepLines/>
              <w:spacing w:after="0" w:line="240" w:lineRule="auto"/>
              <w:rPr>
                <w:rFonts w:asciiTheme="minorHAnsi" w:hAnsiTheme="minorHAnsi"/>
                <w:szCs w:val="20"/>
              </w:rPr>
            </w:pPr>
          </w:p>
        </w:tc>
        <w:tc>
          <w:tcPr>
            <w:tcW w:w="1134" w:type="dxa"/>
          </w:tcPr>
          <w:p w14:paraId="716168C8" w14:textId="1F5417CC" w:rsidR="0017425C" w:rsidRPr="00680778" w:rsidRDefault="0017425C" w:rsidP="0017425C">
            <w:pPr>
              <w:pStyle w:val="Brdtext"/>
              <w:keepNext/>
              <w:keepLines/>
              <w:spacing w:after="0" w:line="240" w:lineRule="auto"/>
              <w:rPr>
                <w:rFonts w:asciiTheme="minorHAnsi" w:hAnsiTheme="minorHAnsi"/>
                <w:szCs w:val="20"/>
              </w:rPr>
            </w:pPr>
            <w:r w:rsidRPr="00680778">
              <w:rPr>
                <w:rFonts w:asciiTheme="minorHAnsi" w:hAnsiTheme="minorHAnsi"/>
                <w:szCs w:val="20"/>
              </w:rPr>
              <w:t>C+D</w:t>
            </w:r>
          </w:p>
        </w:tc>
        <w:tc>
          <w:tcPr>
            <w:tcW w:w="1733" w:type="dxa"/>
            <w:vAlign w:val="center"/>
          </w:tcPr>
          <w:p w14:paraId="40FDBF96" w14:textId="7C35F393" w:rsidR="0017425C" w:rsidRPr="00680778" w:rsidRDefault="0017425C" w:rsidP="0017425C">
            <w:pPr>
              <w:pStyle w:val="Brdtext"/>
              <w:keepNext/>
              <w:keepLines/>
              <w:spacing w:after="0" w:line="240" w:lineRule="auto"/>
              <w:rPr>
                <w:rFonts w:asciiTheme="minorHAnsi" w:hAnsiTheme="minorHAnsi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Cs w:val="20"/>
                </w:rPr>
                <m:t>≥</m:t>
              </m:r>
            </m:oMath>
            <w:r w:rsidRPr="00680778">
              <w:rPr>
                <w:rFonts w:asciiTheme="minorHAnsi" w:hAnsiTheme="minorHAnsi"/>
                <w:szCs w:val="20"/>
              </w:rPr>
              <w:t xml:space="preserve"> 10 MW</w:t>
            </w:r>
          </w:p>
        </w:tc>
        <w:tc>
          <w:tcPr>
            <w:tcW w:w="1669" w:type="dxa"/>
          </w:tcPr>
          <w:p w14:paraId="61ABABF1" w14:textId="77777777" w:rsidR="0017425C" w:rsidRPr="00680778" w:rsidRDefault="0017425C" w:rsidP="0017425C">
            <w:pPr>
              <w:pStyle w:val="Brdtext"/>
              <w:keepNext/>
              <w:keepLines/>
              <w:spacing w:after="0" w:line="240" w:lineRule="auto"/>
              <w:rPr>
                <w:rFonts w:asciiTheme="minorHAnsi" w:hAnsiTheme="minorHAnsi"/>
                <w:szCs w:val="20"/>
              </w:rPr>
            </w:pPr>
            <w:r w:rsidRPr="00680778">
              <w:rPr>
                <w:rFonts w:asciiTheme="minorHAnsi" w:hAnsiTheme="minorHAnsi"/>
                <w:szCs w:val="20"/>
              </w:rPr>
              <w:t>0,5 %</w:t>
            </w:r>
          </w:p>
        </w:tc>
      </w:tr>
    </w:tbl>
    <w:p w14:paraId="0DC60609" w14:textId="6B653B20" w:rsidR="00096D44" w:rsidRDefault="00096D44" w:rsidP="00096D44">
      <w:pPr>
        <w:pStyle w:val="Beskrivning"/>
        <w:keepNext/>
      </w:pPr>
      <w:r>
        <w:t xml:space="preserve">Tabell </w:t>
      </w:r>
      <w:fldSimple w:instr=" SEQ Tabell \* ARABIC ">
        <w:r>
          <w:rPr>
            <w:noProof/>
          </w:rPr>
          <w:t>2</w:t>
        </w:r>
      </w:fldSimple>
      <w:r>
        <w:t xml:space="preserve">. </w:t>
      </w:r>
      <w:r w:rsidRPr="00D655DC">
        <w:t xml:space="preserve">Krav på upplösning och samplingstid för loggning av aktiv </w:t>
      </w:r>
      <w:r>
        <w:t>effek</w:t>
      </w:r>
      <w:r w:rsidRPr="00D655DC">
        <w:t>t</w:t>
      </w:r>
      <w:r>
        <w:t>.</w:t>
      </w:r>
    </w:p>
    <w:tbl>
      <w:tblPr>
        <w:tblStyle w:val="SvKTabellformat"/>
        <w:tblW w:w="0" w:type="auto"/>
        <w:tblLook w:val="04A0" w:firstRow="1" w:lastRow="0" w:firstColumn="1" w:lastColumn="0" w:noHBand="0" w:noVBand="1"/>
      </w:tblPr>
      <w:tblGrid>
        <w:gridCol w:w="2208"/>
        <w:gridCol w:w="1701"/>
        <w:gridCol w:w="1529"/>
      </w:tblGrid>
      <w:tr w:rsidR="00FF1395" w14:paraId="6A1A3837" w14:textId="77777777" w:rsidTr="00B110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208" w:type="dxa"/>
          </w:tcPr>
          <w:p w14:paraId="421252C4" w14:textId="60A0BBA6" w:rsidR="00FF1395" w:rsidRPr="0017425C" w:rsidRDefault="0017425C" w:rsidP="00B11038">
            <w:pPr>
              <w:pStyle w:val="Tabelltext"/>
              <w:rPr>
                <w:rFonts w:asciiTheme="minorHAnsi" w:hAnsiTheme="minorHAnsi"/>
                <w:szCs w:val="20"/>
              </w:rPr>
            </w:pPr>
            <w:r w:rsidRPr="0017425C">
              <w:rPr>
                <w:rFonts w:asciiTheme="minorHAnsi" w:hAnsiTheme="minorHAnsi"/>
                <w:sz w:val="20"/>
                <w:szCs w:val="20"/>
              </w:rPr>
              <w:t xml:space="preserve">Storhet </w:t>
            </w:r>
          </w:p>
        </w:tc>
        <w:tc>
          <w:tcPr>
            <w:tcW w:w="1701" w:type="dxa"/>
          </w:tcPr>
          <w:p w14:paraId="53FE0969" w14:textId="77777777" w:rsidR="00FF1395" w:rsidRPr="0017425C" w:rsidRDefault="00FF1395" w:rsidP="00B11038">
            <w:pPr>
              <w:pStyle w:val="Tabelltext"/>
              <w:rPr>
                <w:rFonts w:asciiTheme="minorHAnsi" w:hAnsiTheme="minorHAnsi"/>
                <w:szCs w:val="20"/>
              </w:rPr>
            </w:pPr>
            <w:r w:rsidRPr="0017425C">
              <w:rPr>
                <w:rFonts w:asciiTheme="minorHAnsi" w:hAnsiTheme="minorHAnsi"/>
                <w:sz w:val="20"/>
                <w:szCs w:val="20"/>
              </w:rPr>
              <w:t>Upplösning</w:t>
            </w:r>
          </w:p>
        </w:tc>
        <w:tc>
          <w:tcPr>
            <w:tcW w:w="1529" w:type="dxa"/>
          </w:tcPr>
          <w:p w14:paraId="53BBE3AD" w14:textId="77777777" w:rsidR="00FF1395" w:rsidRPr="0017425C" w:rsidRDefault="00FF1395" w:rsidP="00B11038">
            <w:pPr>
              <w:pStyle w:val="Tabelltext"/>
              <w:rPr>
                <w:rFonts w:asciiTheme="minorHAnsi" w:hAnsiTheme="minorHAnsi"/>
                <w:szCs w:val="20"/>
              </w:rPr>
            </w:pPr>
            <w:r w:rsidRPr="0017425C">
              <w:rPr>
                <w:rFonts w:asciiTheme="minorHAnsi" w:hAnsiTheme="minorHAnsi"/>
                <w:sz w:val="20"/>
                <w:szCs w:val="20"/>
              </w:rPr>
              <w:t>Samplingstid</w:t>
            </w:r>
          </w:p>
        </w:tc>
      </w:tr>
      <w:tr w:rsidR="00FF1395" w14:paraId="78B51172" w14:textId="77777777" w:rsidTr="0017425C">
        <w:trPr>
          <w:trHeight w:val="19"/>
        </w:trPr>
        <w:tc>
          <w:tcPr>
            <w:tcW w:w="2208" w:type="dxa"/>
          </w:tcPr>
          <w:p w14:paraId="0AEB840E" w14:textId="7377980B" w:rsidR="00FF1395" w:rsidRPr="00680778" w:rsidRDefault="0017425C" w:rsidP="00B11038">
            <w:pPr>
              <w:pStyle w:val="Tabelltext"/>
              <w:rPr>
                <w:rFonts w:asciiTheme="minorHAnsi" w:hAnsiTheme="minorHAnsi"/>
                <w:szCs w:val="20"/>
              </w:rPr>
            </w:pPr>
            <w:r w:rsidRPr="00680778">
              <w:rPr>
                <w:rFonts w:asciiTheme="minorHAnsi" w:hAnsiTheme="minorHAnsi"/>
                <w:sz w:val="20"/>
                <w:szCs w:val="20"/>
              </w:rPr>
              <w:t>A</w:t>
            </w:r>
            <w:r w:rsidR="00FF1395" w:rsidRPr="00680778">
              <w:rPr>
                <w:rFonts w:asciiTheme="minorHAnsi" w:hAnsiTheme="minorHAnsi"/>
                <w:sz w:val="20"/>
                <w:szCs w:val="20"/>
              </w:rPr>
              <w:t>ktiv effekt</w:t>
            </w:r>
          </w:p>
        </w:tc>
        <w:tc>
          <w:tcPr>
            <w:tcW w:w="1701" w:type="dxa"/>
          </w:tcPr>
          <w:p w14:paraId="0835BA0C" w14:textId="083137EC" w:rsidR="00FF1395" w:rsidRPr="00680778" w:rsidRDefault="00993638" w:rsidP="00B11038">
            <w:pPr>
              <w:pStyle w:val="Tabelltext"/>
              <w:rPr>
                <w:rFonts w:asciiTheme="minorHAnsi" w:hAnsiTheme="minorHAnsi"/>
                <w:szCs w:val="20"/>
              </w:rPr>
            </w:pPr>
            <w:r w:rsidRPr="00680778">
              <w:rPr>
                <w:rFonts w:asciiTheme="minorHAnsi" w:hAnsiTheme="minorHAnsi"/>
                <w:sz w:val="20"/>
                <w:szCs w:val="20"/>
              </w:rPr>
              <w:t>0,</w:t>
            </w:r>
            <w:r w:rsidR="00FF1395" w:rsidRPr="00680778">
              <w:rPr>
                <w:rFonts w:asciiTheme="minorHAnsi" w:hAnsiTheme="minorHAnsi"/>
                <w:sz w:val="20"/>
                <w:szCs w:val="20"/>
              </w:rPr>
              <w:t>1 MW</w:t>
            </w:r>
          </w:p>
        </w:tc>
        <w:tc>
          <w:tcPr>
            <w:tcW w:w="1529" w:type="dxa"/>
          </w:tcPr>
          <w:p w14:paraId="102F113D" w14:textId="2D0DAD77" w:rsidR="00FF1395" w:rsidRPr="00680778" w:rsidRDefault="00FF1395" w:rsidP="00B11038">
            <w:pPr>
              <w:pStyle w:val="Tabelltext"/>
              <w:rPr>
                <w:rFonts w:asciiTheme="minorHAnsi" w:hAnsiTheme="minorHAnsi"/>
                <w:szCs w:val="20"/>
              </w:rPr>
            </w:pPr>
            <w:r w:rsidRPr="00680778">
              <w:rPr>
                <w:rFonts w:asciiTheme="minorHAnsi" w:hAnsiTheme="minorHAnsi"/>
                <w:sz w:val="20"/>
                <w:szCs w:val="20"/>
              </w:rPr>
              <w:t>1</w:t>
            </w:r>
            <w:r w:rsidR="00993638" w:rsidRPr="00680778">
              <w:rPr>
                <w:rFonts w:asciiTheme="minorHAnsi" w:hAnsiTheme="minorHAnsi"/>
                <w:sz w:val="20"/>
                <w:szCs w:val="20"/>
              </w:rPr>
              <w:t>0</w:t>
            </w:r>
            <w:r w:rsidRPr="00680778">
              <w:rPr>
                <w:rFonts w:asciiTheme="minorHAnsi" w:hAnsiTheme="minorHAnsi"/>
                <w:sz w:val="20"/>
                <w:szCs w:val="20"/>
              </w:rPr>
              <w:t xml:space="preserve"> s</w:t>
            </w:r>
          </w:p>
        </w:tc>
      </w:tr>
    </w:tbl>
    <w:p w14:paraId="1548A601" w14:textId="77777777" w:rsidR="00102292" w:rsidRDefault="00102292" w:rsidP="00102292">
      <w:pPr>
        <w:pStyle w:val="Brdtext"/>
      </w:pPr>
    </w:p>
    <w:p w14:paraId="4FB8ECAF" w14:textId="77777777" w:rsidR="00102292" w:rsidRDefault="00102292" w:rsidP="00102292">
      <w:pPr>
        <w:pStyle w:val="Brdtext"/>
      </w:pPr>
    </w:p>
    <w:p w14:paraId="045CDDBA" w14:textId="0487E7F9" w:rsidR="00102292" w:rsidRDefault="00102292" w:rsidP="00493242">
      <w:pPr>
        <w:pStyle w:val="Rubrik1"/>
        <w:ind w:left="737"/>
      </w:pPr>
      <w:r>
        <w:br w:type="column"/>
      </w:r>
      <w:r w:rsidR="00D36B5B">
        <w:lastRenderedPageBreak/>
        <w:t xml:space="preserve">2 </w:t>
      </w:r>
      <w:r w:rsidR="00D36B5B">
        <w:tab/>
      </w:r>
      <w:r>
        <w:t>Inför genomförande av test</w:t>
      </w:r>
    </w:p>
    <w:p w14:paraId="79B2EE7A" w14:textId="77777777" w:rsidR="00102292" w:rsidRPr="00411D96" w:rsidRDefault="00102292" w:rsidP="00411D96">
      <w:pPr>
        <w:pStyle w:val="Numreradlista"/>
        <w:numPr>
          <w:ilvl w:val="0"/>
          <w:numId w:val="0"/>
        </w:numPr>
        <w:ind w:left="360" w:hanging="360"/>
        <w:rPr>
          <w:rFonts w:asciiTheme="minorHAnsi" w:hAnsiTheme="minorHAnsi"/>
        </w:rPr>
      </w:pPr>
      <w:r w:rsidRPr="00411D96">
        <w:rPr>
          <w:rFonts w:asciiTheme="minorHAnsi" w:hAnsiTheme="minorHAnsi"/>
        </w:rPr>
        <w:t xml:space="preserve">Inför test bör följande punkter kontrolleras. </w:t>
      </w:r>
    </w:p>
    <w:p w14:paraId="6073AA37" w14:textId="77777777" w:rsidR="00102292" w:rsidRPr="00411D96" w:rsidRDefault="00102292" w:rsidP="00102292">
      <w:pPr>
        <w:pStyle w:val="Punktlista"/>
        <w:rPr>
          <w:rFonts w:asciiTheme="minorHAnsi" w:hAnsiTheme="minorHAnsi"/>
        </w:rPr>
      </w:pPr>
      <w:r w:rsidRPr="00411D96">
        <w:rPr>
          <w:rFonts w:asciiTheme="minorHAnsi" w:hAnsiTheme="minorHAnsi"/>
        </w:rPr>
        <w:t>Inställning av enhet eller grupp ska ske så att den tillhandahåller aktiv effekt enligt plan.</w:t>
      </w:r>
    </w:p>
    <w:p w14:paraId="5055EF66" w14:textId="0E161FAD" w:rsidR="00102292" w:rsidRDefault="00102292" w:rsidP="00102292">
      <w:pPr>
        <w:pStyle w:val="Punktlista"/>
        <w:rPr>
          <w:rFonts w:asciiTheme="minorHAnsi" w:hAnsiTheme="minorHAnsi"/>
        </w:rPr>
      </w:pPr>
      <w:r w:rsidRPr="00411D96">
        <w:rPr>
          <w:rFonts w:asciiTheme="minorHAnsi" w:hAnsiTheme="minorHAnsi"/>
        </w:rPr>
        <w:t>Säkerställ att nedanstående data regi</w:t>
      </w:r>
      <w:r w:rsidR="008F1185">
        <w:rPr>
          <w:rFonts w:asciiTheme="minorHAnsi" w:hAnsiTheme="minorHAnsi"/>
        </w:rPr>
        <w:t xml:space="preserve">streras och sparas under testet, se beskrivning av datarapportering under punkt 4. </w:t>
      </w:r>
    </w:p>
    <w:p w14:paraId="01C9D88A" w14:textId="1A75F556" w:rsidR="00EF2022" w:rsidRPr="00EF2022" w:rsidRDefault="00EF2022" w:rsidP="00EF2022">
      <w:pPr>
        <w:pStyle w:val="Punktlista"/>
      </w:pPr>
      <w:r>
        <w:t>Säkerställ att utrustning för loggning av data är korrekt tidssynkroniserad.</w:t>
      </w:r>
    </w:p>
    <w:p w14:paraId="33C0088E" w14:textId="0D487BA7" w:rsidR="00096D44" w:rsidRDefault="00096D44" w:rsidP="00096D44">
      <w:pPr>
        <w:pStyle w:val="Beskrivning"/>
        <w:keepNext/>
      </w:pPr>
      <w:r>
        <w:t xml:space="preserve">Tabell </w:t>
      </w:r>
      <w:fldSimple w:instr=" SEQ Tabell \* ARABIC ">
        <w:r>
          <w:rPr>
            <w:noProof/>
          </w:rPr>
          <w:t>3</w:t>
        </w:r>
      </w:fldSimple>
      <w:r>
        <w:t xml:space="preserve">. </w:t>
      </w:r>
      <w:r w:rsidRPr="00FF1395">
        <w:rPr>
          <w:rFonts w:asciiTheme="minorHAnsi" w:hAnsiTheme="minorHAnsi"/>
        </w:rPr>
        <w:t>Sammanfattning av mätning och loggning under test.</w:t>
      </w:r>
    </w:p>
    <w:tbl>
      <w:tblPr>
        <w:tblStyle w:val="SvKTabellformat"/>
        <w:tblW w:w="8445" w:type="dxa"/>
        <w:tblLook w:val="04A0" w:firstRow="1" w:lastRow="0" w:firstColumn="1" w:lastColumn="0" w:noHBand="0" w:noVBand="1"/>
      </w:tblPr>
      <w:tblGrid>
        <w:gridCol w:w="2492"/>
        <w:gridCol w:w="1701"/>
        <w:gridCol w:w="1843"/>
        <w:gridCol w:w="2409"/>
      </w:tblGrid>
      <w:tr w:rsidR="000D7111" w:rsidRPr="00B858C7" w14:paraId="56188A0C" w14:textId="77777777" w:rsidTr="000D71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492" w:type="dxa"/>
          </w:tcPr>
          <w:p w14:paraId="5935A521" w14:textId="0A2FA496" w:rsidR="000D7111" w:rsidRPr="00B858C7" w:rsidRDefault="000D7111" w:rsidP="00D204CA">
            <w:pPr>
              <w:pStyle w:val="Tabelltex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7A0CCA16" w14:textId="5FD67427" w:rsidR="000D7111" w:rsidRPr="00B858C7" w:rsidRDefault="000D7111" w:rsidP="000D7111">
            <w:pPr>
              <w:pStyle w:val="Tabelltext"/>
              <w:jc w:val="right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Enhet</w:t>
            </w:r>
          </w:p>
        </w:tc>
        <w:tc>
          <w:tcPr>
            <w:tcW w:w="1843" w:type="dxa"/>
          </w:tcPr>
          <w:p w14:paraId="07FADFF8" w14:textId="00F604BB" w:rsidR="000D7111" w:rsidRDefault="000D7111" w:rsidP="000D7111">
            <w:pPr>
              <w:pStyle w:val="Tabelltext"/>
              <w:ind w:left="-339" w:firstLine="33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Upplösning</w:t>
            </w:r>
            <w:r>
              <w:rPr>
                <w:rStyle w:val="Fotnotsreferens"/>
                <w:sz w:val="20"/>
                <w:szCs w:val="20"/>
              </w:rPr>
              <w:footnoteReference w:id="2"/>
            </w:r>
          </w:p>
        </w:tc>
        <w:tc>
          <w:tcPr>
            <w:tcW w:w="2409" w:type="dxa"/>
          </w:tcPr>
          <w:p w14:paraId="57B1ABCC" w14:textId="586A7AEE" w:rsidR="000D7111" w:rsidRPr="00B858C7" w:rsidRDefault="000D7111" w:rsidP="000D7111">
            <w:pPr>
              <w:pStyle w:val="Tabelltext"/>
              <w:ind w:left="-339" w:firstLine="339"/>
              <w:jc w:val="right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Rekommenderad samplingstid</w:t>
            </w:r>
            <w:r>
              <w:rPr>
                <w:rStyle w:val="Fotnotsreferens"/>
                <w:sz w:val="20"/>
                <w:szCs w:val="20"/>
              </w:rPr>
              <w:footnoteReference w:id="3"/>
            </w:r>
          </w:p>
        </w:tc>
      </w:tr>
      <w:tr w:rsidR="000D7111" w:rsidRPr="00B858C7" w14:paraId="1A9B6BA9" w14:textId="77777777" w:rsidTr="000D7111">
        <w:tc>
          <w:tcPr>
            <w:tcW w:w="2492" w:type="dxa"/>
          </w:tcPr>
          <w:p w14:paraId="0674DF81" w14:textId="69C0ACA3" w:rsidR="000D7111" w:rsidRPr="00CC17EF" w:rsidRDefault="000D7111" w:rsidP="00D204CA">
            <w:pPr>
              <w:pStyle w:val="Tabelltext"/>
              <w:rPr>
                <w:sz w:val="20"/>
                <w:szCs w:val="20"/>
              </w:rPr>
            </w:pPr>
            <w:r w:rsidRPr="00CC17EF">
              <w:rPr>
                <w:sz w:val="20"/>
                <w:szCs w:val="20"/>
              </w:rPr>
              <w:t>Momentan aktiv effekt</w:t>
            </w:r>
          </w:p>
        </w:tc>
        <w:tc>
          <w:tcPr>
            <w:tcW w:w="1701" w:type="dxa"/>
          </w:tcPr>
          <w:p w14:paraId="4CAF15FA" w14:textId="6E6E07B7" w:rsidR="000D7111" w:rsidRPr="00B858C7" w:rsidRDefault="000D7111" w:rsidP="00CC17EF">
            <w:pPr>
              <w:pStyle w:val="Tabelltex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MW</w:t>
            </w:r>
          </w:p>
        </w:tc>
        <w:tc>
          <w:tcPr>
            <w:tcW w:w="1843" w:type="dxa"/>
          </w:tcPr>
          <w:p w14:paraId="3FEC043A" w14:textId="6E894DC9" w:rsidR="000D7111" w:rsidRDefault="000D7111" w:rsidP="00CC17EF">
            <w:pPr>
              <w:pStyle w:val="Tabelltex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 MW</w:t>
            </w:r>
          </w:p>
        </w:tc>
        <w:tc>
          <w:tcPr>
            <w:tcW w:w="2409" w:type="dxa"/>
          </w:tcPr>
          <w:p w14:paraId="73EB07E9" w14:textId="3E6EE8F6" w:rsidR="000D7111" w:rsidRPr="00B858C7" w:rsidRDefault="000D7111" w:rsidP="00CC17EF">
            <w:pPr>
              <w:pStyle w:val="Tabelltex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s</w:t>
            </w:r>
          </w:p>
        </w:tc>
      </w:tr>
      <w:tr w:rsidR="000D7111" w:rsidRPr="00B858C7" w14:paraId="6323B9E0" w14:textId="77777777" w:rsidTr="000D7111">
        <w:tc>
          <w:tcPr>
            <w:tcW w:w="2492" w:type="dxa"/>
          </w:tcPr>
          <w:p w14:paraId="577DE92A" w14:textId="692CA846" w:rsidR="000D7111" w:rsidRPr="00B858C7" w:rsidRDefault="000D7111" w:rsidP="00D204CA">
            <w:pPr>
              <w:pStyle w:val="Tabelltext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1466E7FF" w14:textId="77777777" w:rsidR="000D7111" w:rsidRPr="00B858C7" w:rsidRDefault="000D7111" w:rsidP="00D204CA">
            <w:pPr>
              <w:pStyle w:val="Tabelltext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0F82C52A" w14:textId="77777777" w:rsidR="000D7111" w:rsidRPr="00B858C7" w:rsidRDefault="000D7111" w:rsidP="00D204CA">
            <w:pPr>
              <w:pStyle w:val="Tabelltext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14:paraId="4ADEDF27" w14:textId="5C6AFD42" w:rsidR="000D7111" w:rsidRPr="00B858C7" w:rsidRDefault="000D7111" w:rsidP="00D204CA">
            <w:pPr>
              <w:pStyle w:val="Tabelltext"/>
              <w:rPr>
                <w:sz w:val="20"/>
                <w:szCs w:val="20"/>
              </w:rPr>
            </w:pPr>
          </w:p>
        </w:tc>
      </w:tr>
    </w:tbl>
    <w:p w14:paraId="1B49A3F6" w14:textId="754808A8" w:rsidR="008E5E26" w:rsidRPr="00411D96" w:rsidRDefault="00102292" w:rsidP="00102292">
      <w:pPr>
        <w:pStyle w:val="Punktlista"/>
        <w:numPr>
          <w:ilvl w:val="0"/>
          <w:numId w:val="0"/>
        </w:numPr>
        <w:rPr>
          <w:rFonts w:asciiTheme="minorHAnsi" w:hAnsiTheme="minorHAnsi"/>
        </w:rPr>
      </w:pPr>
      <w:r w:rsidRPr="00411D96">
        <w:rPr>
          <w:rFonts w:asciiTheme="minorHAnsi" w:hAnsiTheme="minorHAnsi"/>
        </w:rPr>
        <w:t xml:space="preserve">Utöver ovanstående data ska betydande tillstånd som har inverkan på testresultatet loggas under testet. Sådana data inbegriper men begränsas inte till följande: </w:t>
      </w:r>
    </w:p>
    <w:p w14:paraId="43B65A70" w14:textId="10A17163" w:rsidR="008E5E26" w:rsidRDefault="008E5E26" w:rsidP="008E5E26">
      <w:pPr>
        <w:pStyle w:val="Punktlista"/>
        <w:numPr>
          <w:ilvl w:val="0"/>
          <w:numId w:val="0"/>
        </w:numPr>
        <w:ind w:left="360" w:hanging="36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För samtliga: </w:t>
      </w:r>
    </w:p>
    <w:p w14:paraId="41980E5C" w14:textId="10751752" w:rsidR="00102292" w:rsidRDefault="00102292" w:rsidP="00102292">
      <w:pPr>
        <w:pStyle w:val="Punktlista"/>
        <w:tabs>
          <w:tab w:val="clear" w:pos="360"/>
          <w:tab w:val="num" w:pos="720"/>
        </w:tabs>
        <w:ind w:left="720"/>
        <w:rPr>
          <w:rFonts w:asciiTheme="minorHAnsi" w:hAnsiTheme="minorHAnsi"/>
        </w:rPr>
      </w:pPr>
      <w:r w:rsidRPr="00411D96">
        <w:rPr>
          <w:rFonts w:asciiTheme="minorHAnsi" w:hAnsiTheme="minorHAnsi"/>
        </w:rPr>
        <w:t xml:space="preserve">Statusidentifiering som anger vilken inställning av kontrollparametrar som är aktiv, om denna kan ändras automatiskt under testet. </w:t>
      </w:r>
    </w:p>
    <w:p w14:paraId="770C56B0" w14:textId="0F5723E8" w:rsidR="008E5E26" w:rsidRPr="008E5E26" w:rsidRDefault="008E5E26" w:rsidP="008E5E26">
      <w:pPr>
        <w:pStyle w:val="Punktlista"/>
        <w:tabs>
          <w:tab w:val="clear" w:pos="360"/>
          <w:tab w:val="num" w:pos="720"/>
        </w:tabs>
        <w:ind w:left="720"/>
        <w:rPr>
          <w:rFonts w:asciiTheme="minorHAnsi" w:hAnsiTheme="minorHAnsi"/>
        </w:rPr>
      </w:pPr>
      <w:r w:rsidRPr="00411D96">
        <w:rPr>
          <w:rFonts w:asciiTheme="minorHAnsi" w:hAnsiTheme="minorHAnsi"/>
        </w:rPr>
        <w:t>Utsignal från styrenhet</w:t>
      </w:r>
    </w:p>
    <w:p w14:paraId="016BBD89" w14:textId="21389A54" w:rsidR="00102292" w:rsidRPr="00411D96" w:rsidRDefault="008E5E26" w:rsidP="00102292">
      <w:pPr>
        <w:pStyle w:val="Punktlista"/>
        <w:numPr>
          <w:ilvl w:val="0"/>
          <w:numId w:val="0"/>
        </w:numPr>
        <w:ind w:firstLine="360"/>
        <w:rPr>
          <w:rFonts w:asciiTheme="minorHAnsi" w:hAnsiTheme="minorHAnsi"/>
        </w:rPr>
      </w:pPr>
      <w:r>
        <w:rPr>
          <w:rFonts w:asciiTheme="minorHAnsi" w:hAnsiTheme="minorHAnsi"/>
        </w:rPr>
        <w:t>För vattenkraftsanläggningar:</w:t>
      </w:r>
    </w:p>
    <w:p w14:paraId="10DA0D40" w14:textId="39D47175" w:rsidR="00102292" w:rsidRPr="00411D96" w:rsidRDefault="008E5E26" w:rsidP="00102292">
      <w:pPr>
        <w:pStyle w:val="Punktlista"/>
        <w:tabs>
          <w:tab w:val="clear" w:pos="360"/>
          <w:tab w:val="num" w:pos="720"/>
        </w:tabs>
        <w:ind w:left="720"/>
        <w:rPr>
          <w:rFonts w:asciiTheme="minorHAnsi" w:hAnsiTheme="minorHAnsi"/>
        </w:rPr>
      </w:pPr>
      <w:r>
        <w:rPr>
          <w:rFonts w:asciiTheme="minorHAnsi" w:hAnsiTheme="minorHAnsi"/>
        </w:rPr>
        <w:t>Ledskovelvinkel</w:t>
      </w:r>
    </w:p>
    <w:p w14:paraId="183B18F8" w14:textId="77777777" w:rsidR="00102292" w:rsidRPr="00411D96" w:rsidRDefault="00102292" w:rsidP="00102292">
      <w:pPr>
        <w:pStyle w:val="Punktlista"/>
        <w:tabs>
          <w:tab w:val="clear" w:pos="360"/>
          <w:tab w:val="num" w:pos="720"/>
        </w:tabs>
        <w:ind w:left="720"/>
        <w:rPr>
          <w:rFonts w:asciiTheme="minorHAnsi" w:hAnsiTheme="minorHAnsi"/>
        </w:rPr>
      </w:pPr>
      <w:r w:rsidRPr="00411D96">
        <w:rPr>
          <w:rFonts w:asciiTheme="minorHAnsi" w:hAnsiTheme="minorHAnsi"/>
        </w:rPr>
        <w:t xml:space="preserve">Löpskovelvinkel (Kaplanenheter) </w:t>
      </w:r>
    </w:p>
    <w:p w14:paraId="340DC37B" w14:textId="77777777" w:rsidR="008E5E26" w:rsidRPr="00C23BA3" w:rsidRDefault="008E5E26" w:rsidP="008E5E26">
      <w:pPr>
        <w:pStyle w:val="Punktlista"/>
        <w:tabs>
          <w:tab w:val="clear" w:pos="360"/>
          <w:tab w:val="num" w:pos="720"/>
        </w:tabs>
        <w:spacing w:line="276" w:lineRule="auto"/>
        <w:ind w:left="720"/>
      </w:pPr>
      <w:r w:rsidRPr="00C23BA3">
        <w:t>Övre vattenyta (</w:t>
      </w:r>
      <w:proofErr w:type="spellStart"/>
      <w:r w:rsidRPr="00C23BA3">
        <w:t>m.ö.h</w:t>
      </w:r>
      <w:proofErr w:type="spellEnd"/>
      <w:r w:rsidRPr="00C23BA3">
        <w:t>)</w:t>
      </w:r>
    </w:p>
    <w:p w14:paraId="756DC3FE" w14:textId="77777777" w:rsidR="008E5E26" w:rsidRPr="00C23BA3" w:rsidRDefault="008E5E26" w:rsidP="008E5E26">
      <w:pPr>
        <w:pStyle w:val="Punktlista"/>
        <w:tabs>
          <w:tab w:val="clear" w:pos="360"/>
          <w:tab w:val="num" w:pos="720"/>
        </w:tabs>
        <w:spacing w:line="276" w:lineRule="auto"/>
        <w:ind w:left="720"/>
      </w:pPr>
      <w:r w:rsidRPr="00C23BA3">
        <w:t>Nedre vattenyta (</w:t>
      </w:r>
      <w:proofErr w:type="spellStart"/>
      <w:r w:rsidRPr="00C23BA3">
        <w:t>m.ö.h</w:t>
      </w:r>
      <w:proofErr w:type="spellEnd"/>
      <w:r w:rsidRPr="00C23BA3">
        <w:t>)</w:t>
      </w:r>
    </w:p>
    <w:p w14:paraId="1B8E6FB8" w14:textId="0E4CD43A" w:rsidR="00102292" w:rsidRPr="00411D96" w:rsidRDefault="008E5E26" w:rsidP="00102292">
      <w:pPr>
        <w:pStyle w:val="Brdtext"/>
        <w:ind w:firstLine="360"/>
        <w:rPr>
          <w:rFonts w:asciiTheme="minorHAnsi" w:hAnsiTheme="minorHAnsi"/>
        </w:rPr>
      </w:pPr>
      <w:r>
        <w:rPr>
          <w:rFonts w:asciiTheme="minorHAnsi" w:hAnsiTheme="minorHAnsi"/>
        </w:rPr>
        <w:t>För</w:t>
      </w:r>
      <w:r w:rsidR="00102292" w:rsidRPr="00411D96">
        <w:rPr>
          <w:rFonts w:asciiTheme="minorHAnsi" w:hAnsiTheme="minorHAnsi"/>
        </w:rPr>
        <w:t xml:space="preserve"> v</w:t>
      </w:r>
      <w:r>
        <w:rPr>
          <w:rFonts w:asciiTheme="minorHAnsi" w:hAnsiTheme="minorHAnsi"/>
        </w:rPr>
        <w:t>ärmekraftanläggningar:</w:t>
      </w:r>
    </w:p>
    <w:p w14:paraId="4260B0B3" w14:textId="08ACC993" w:rsidR="00102292" w:rsidRPr="00680778" w:rsidRDefault="008E5E26" w:rsidP="00102292">
      <w:pPr>
        <w:pStyle w:val="Punktlista"/>
        <w:tabs>
          <w:tab w:val="clear" w:pos="360"/>
          <w:tab w:val="num" w:pos="720"/>
        </w:tabs>
        <w:ind w:left="720"/>
        <w:rPr>
          <w:rFonts w:asciiTheme="minorHAnsi" w:hAnsiTheme="minorHAnsi"/>
        </w:rPr>
      </w:pPr>
      <w:r w:rsidRPr="00680778">
        <w:rPr>
          <w:rFonts w:asciiTheme="minorHAnsi" w:hAnsiTheme="minorHAnsi"/>
        </w:rPr>
        <w:t>Turbinventilläge</w:t>
      </w:r>
    </w:p>
    <w:p w14:paraId="134293CE" w14:textId="77777777" w:rsidR="008E5E26" w:rsidRPr="00680778" w:rsidRDefault="008E5E26" w:rsidP="008E5E26">
      <w:pPr>
        <w:pStyle w:val="Punktlista"/>
        <w:numPr>
          <w:ilvl w:val="0"/>
          <w:numId w:val="0"/>
        </w:numPr>
        <w:spacing w:line="276" w:lineRule="auto"/>
        <w:ind w:left="360"/>
      </w:pPr>
      <w:r w:rsidRPr="00680778">
        <w:t>För vindkraftsanläggningar:</w:t>
      </w:r>
    </w:p>
    <w:p w14:paraId="7C2D0599" w14:textId="77777777" w:rsidR="008E5E26" w:rsidRPr="00680778" w:rsidRDefault="008E5E26" w:rsidP="008E5E26">
      <w:pPr>
        <w:pStyle w:val="Punktlista"/>
        <w:tabs>
          <w:tab w:val="clear" w:pos="360"/>
          <w:tab w:val="num" w:pos="720"/>
        </w:tabs>
        <w:spacing w:line="276" w:lineRule="auto"/>
        <w:ind w:left="720"/>
      </w:pPr>
      <w:r w:rsidRPr="00680778">
        <w:t>Vindhastighet [m/s]</w:t>
      </w:r>
    </w:p>
    <w:p w14:paraId="663CAE86" w14:textId="77777777" w:rsidR="008E5E26" w:rsidRPr="00680778" w:rsidRDefault="008E5E26" w:rsidP="008E5E26">
      <w:pPr>
        <w:pStyle w:val="Punktlista"/>
        <w:numPr>
          <w:ilvl w:val="0"/>
          <w:numId w:val="0"/>
        </w:numPr>
        <w:spacing w:line="276" w:lineRule="auto"/>
        <w:ind w:firstLine="360"/>
      </w:pPr>
      <w:r w:rsidRPr="00680778">
        <w:t>För solkraftsanläggningar:</w:t>
      </w:r>
    </w:p>
    <w:p w14:paraId="06F80CE1" w14:textId="05747E7A" w:rsidR="008E5E26" w:rsidRPr="00680778" w:rsidRDefault="008E5E26" w:rsidP="008E5E26">
      <w:pPr>
        <w:pStyle w:val="Punktlista"/>
        <w:tabs>
          <w:tab w:val="clear" w:pos="360"/>
          <w:tab w:val="num" w:pos="720"/>
        </w:tabs>
        <w:spacing w:line="276" w:lineRule="auto"/>
        <w:ind w:left="720"/>
      </w:pPr>
      <w:r w:rsidRPr="00680778">
        <w:t>Solinstrålning [W/m</w:t>
      </w:r>
      <w:r w:rsidRPr="00680778">
        <w:rPr>
          <w:vertAlign w:val="superscript"/>
        </w:rPr>
        <w:t>2</w:t>
      </w:r>
      <w:r w:rsidRPr="00680778">
        <w:t>]</w:t>
      </w:r>
    </w:p>
    <w:p w14:paraId="28DD8625" w14:textId="20AA11BB" w:rsidR="00102292" w:rsidRPr="00411D96" w:rsidRDefault="008E5E26" w:rsidP="00102292">
      <w:pPr>
        <w:pStyle w:val="Brdtext"/>
        <w:ind w:firstLine="360"/>
        <w:rPr>
          <w:rFonts w:asciiTheme="minorHAnsi" w:hAnsiTheme="minorHAnsi"/>
        </w:rPr>
      </w:pPr>
      <w:r>
        <w:rPr>
          <w:rFonts w:asciiTheme="minorHAnsi" w:hAnsiTheme="minorHAnsi"/>
        </w:rPr>
        <w:t>För</w:t>
      </w:r>
      <w:r w:rsidR="00102292" w:rsidRPr="00411D96">
        <w:rPr>
          <w:rFonts w:asciiTheme="minorHAnsi" w:hAnsiTheme="minorHAnsi"/>
        </w:rPr>
        <w:t xml:space="preserve"> batterier</w:t>
      </w:r>
      <w:r>
        <w:rPr>
          <w:rFonts w:asciiTheme="minorHAnsi" w:hAnsiTheme="minorHAnsi"/>
        </w:rPr>
        <w:t>:</w:t>
      </w:r>
    </w:p>
    <w:p w14:paraId="55700977" w14:textId="77777777" w:rsidR="00102292" w:rsidRPr="00411D96" w:rsidRDefault="00102292" w:rsidP="00102292">
      <w:pPr>
        <w:pStyle w:val="Punktlista"/>
        <w:tabs>
          <w:tab w:val="clear" w:pos="360"/>
          <w:tab w:val="num" w:pos="720"/>
        </w:tabs>
        <w:ind w:left="720"/>
        <w:rPr>
          <w:rFonts w:asciiTheme="minorHAnsi" w:hAnsiTheme="minorHAnsi"/>
        </w:rPr>
      </w:pPr>
      <w:r w:rsidRPr="00411D96">
        <w:rPr>
          <w:rFonts w:asciiTheme="minorHAnsi" w:hAnsiTheme="minorHAnsi"/>
        </w:rPr>
        <w:t xml:space="preserve"> Laddningsnivå</w:t>
      </w:r>
    </w:p>
    <w:p w14:paraId="4627F3C5" w14:textId="77777777" w:rsidR="00102292" w:rsidRDefault="00102292">
      <w:pPr>
        <w:spacing w:after="160" w:line="2" w:lineRule="auto"/>
        <w:rPr>
          <w:sz w:val="20"/>
        </w:rPr>
      </w:pPr>
      <w:r>
        <w:br w:type="page"/>
      </w:r>
    </w:p>
    <w:p w14:paraId="05BFA8BB" w14:textId="5A1A037C" w:rsidR="00102292" w:rsidRDefault="00102292" w:rsidP="00D36B5B">
      <w:pPr>
        <w:pStyle w:val="Rubrik1"/>
        <w:numPr>
          <w:ilvl w:val="0"/>
          <w:numId w:val="24"/>
        </w:numPr>
      </w:pPr>
      <w:r>
        <w:lastRenderedPageBreak/>
        <w:t>Förkvalificeringstest</w:t>
      </w:r>
    </w:p>
    <w:p w14:paraId="24B8D172" w14:textId="3FBB29A9" w:rsidR="00102292" w:rsidRPr="00411D96" w:rsidRDefault="00102292" w:rsidP="00102292">
      <w:pPr>
        <w:pStyle w:val="Brdtext"/>
        <w:rPr>
          <w:rFonts w:asciiTheme="minorHAnsi" w:hAnsiTheme="minorHAnsi"/>
        </w:rPr>
      </w:pPr>
      <w:r w:rsidRPr="00411D96">
        <w:rPr>
          <w:rFonts w:asciiTheme="minorHAnsi" w:hAnsiTheme="minorHAnsi"/>
        </w:rPr>
        <w:t xml:space="preserve">Resultat från test ska redovisas i </w:t>
      </w:r>
      <w:r w:rsidR="00D36B5B">
        <w:rPr>
          <w:rFonts w:asciiTheme="minorHAnsi" w:hAnsiTheme="minorHAnsi"/>
        </w:rPr>
        <w:t xml:space="preserve">ansökningsformuläret </w:t>
      </w:r>
      <w:r w:rsidRPr="00411D96">
        <w:rPr>
          <w:rFonts w:asciiTheme="minorHAnsi" w:hAnsiTheme="minorHAnsi"/>
        </w:rPr>
        <w:t xml:space="preserve">och bifogas i ansökan tillsammans med </w:t>
      </w:r>
      <w:proofErr w:type="gramStart"/>
      <w:r w:rsidRPr="00411D96">
        <w:rPr>
          <w:rFonts w:asciiTheme="minorHAnsi" w:hAnsiTheme="minorHAnsi"/>
        </w:rPr>
        <w:t>loggad testdata</w:t>
      </w:r>
      <w:proofErr w:type="gramEnd"/>
      <w:r w:rsidRPr="00411D96">
        <w:rPr>
          <w:rFonts w:asciiTheme="minorHAnsi" w:hAnsiTheme="minorHAnsi"/>
        </w:rPr>
        <w:t>.</w:t>
      </w:r>
    </w:p>
    <w:p w14:paraId="6147CF24" w14:textId="4044B3DF" w:rsidR="00102292" w:rsidRPr="00077E01" w:rsidRDefault="00102292" w:rsidP="00D36B5B">
      <w:pPr>
        <w:pStyle w:val="Rubrik2"/>
        <w:numPr>
          <w:ilvl w:val="1"/>
          <w:numId w:val="25"/>
        </w:numPr>
      </w:pPr>
      <w:r>
        <w:t>Uppregleringstest</w:t>
      </w:r>
      <w:r w:rsidRPr="00077E01" w:rsidDel="00373F9E">
        <w:t xml:space="preserve"> </w:t>
      </w:r>
    </w:p>
    <w:p w14:paraId="1AE271EB" w14:textId="77777777" w:rsidR="00102292" w:rsidRPr="00411D96" w:rsidRDefault="00102292" w:rsidP="00B702DC">
      <w:pPr>
        <w:pStyle w:val="Numreradlista"/>
        <w:numPr>
          <w:ilvl w:val="0"/>
          <w:numId w:val="0"/>
        </w:numPr>
        <w:ind w:left="360"/>
        <w:rPr>
          <w:rFonts w:asciiTheme="minorHAnsi" w:hAnsiTheme="minorHAnsi"/>
        </w:rPr>
      </w:pPr>
      <w:r w:rsidRPr="00411D96">
        <w:rPr>
          <w:rFonts w:asciiTheme="minorHAnsi" w:hAnsiTheme="minorHAnsi"/>
        </w:rPr>
        <w:t xml:space="preserve">Om ansökan avser </w:t>
      </w:r>
      <w:proofErr w:type="spellStart"/>
      <w:r w:rsidRPr="00411D96">
        <w:rPr>
          <w:rFonts w:asciiTheme="minorHAnsi" w:hAnsiTheme="minorHAnsi"/>
        </w:rPr>
        <w:t>mFRR</w:t>
      </w:r>
      <w:proofErr w:type="spellEnd"/>
      <w:r w:rsidRPr="00411D96">
        <w:rPr>
          <w:rFonts w:asciiTheme="minorHAnsi" w:hAnsiTheme="minorHAnsi"/>
        </w:rPr>
        <w:t xml:space="preserve"> uppreglering ska uppregleringstest utföras för enheten eller gruppen. Om ansökan enbart avser </w:t>
      </w:r>
      <w:proofErr w:type="spellStart"/>
      <w:r w:rsidRPr="00411D96">
        <w:rPr>
          <w:rFonts w:asciiTheme="minorHAnsi" w:hAnsiTheme="minorHAnsi"/>
        </w:rPr>
        <w:t>mFRR</w:t>
      </w:r>
      <w:proofErr w:type="spellEnd"/>
      <w:r w:rsidRPr="00411D96">
        <w:rPr>
          <w:rFonts w:asciiTheme="minorHAnsi" w:hAnsiTheme="minorHAnsi"/>
        </w:rPr>
        <w:t xml:space="preserve"> nedreglering ska detta test inte utföras.</w:t>
      </w:r>
    </w:p>
    <w:p w14:paraId="7C39160A" w14:textId="77777777" w:rsidR="00102292" w:rsidRPr="00411D96" w:rsidRDefault="00102292" w:rsidP="00102292">
      <w:pPr>
        <w:pStyle w:val="Numreradlista"/>
        <w:numPr>
          <w:ilvl w:val="0"/>
          <w:numId w:val="16"/>
        </w:numPr>
        <w:tabs>
          <w:tab w:val="left" w:pos="426"/>
        </w:tabs>
        <w:rPr>
          <w:rFonts w:asciiTheme="minorHAnsi" w:hAnsiTheme="minorHAnsi"/>
        </w:rPr>
      </w:pPr>
      <w:r w:rsidRPr="00411D96">
        <w:rPr>
          <w:rFonts w:asciiTheme="minorHAnsi" w:hAnsiTheme="minorHAnsi"/>
        </w:rPr>
        <w:t xml:space="preserve">Utför aktiveringssekvens för </w:t>
      </w:r>
      <w:proofErr w:type="spellStart"/>
      <w:r w:rsidRPr="00411D96">
        <w:rPr>
          <w:rFonts w:asciiTheme="minorHAnsi" w:hAnsiTheme="minorHAnsi"/>
        </w:rPr>
        <w:t>mFRR</w:t>
      </w:r>
      <w:proofErr w:type="spellEnd"/>
      <w:r w:rsidRPr="00411D96">
        <w:rPr>
          <w:rFonts w:asciiTheme="minorHAnsi" w:hAnsiTheme="minorHAnsi"/>
        </w:rPr>
        <w:t xml:space="preserve"> uppreglering enligt Figur 1. </w:t>
      </w:r>
    </w:p>
    <w:p w14:paraId="350F7D63" w14:textId="141DCF22" w:rsidR="00102292" w:rsidRPr="00411D96" w:rsidRDefault="00EE5A53" w:rsidP="00102292">
      <w:pPr>
        <w:pStyle w:val="Brdtext"/>
        <w:ind w:left="720"/>
        <w:jc w:val="center"/>
        <w:rPr>
          <w:rFonts w:asciiTheme="minorHAnsi" w:hAnsiTheme="minorHAnsi"/>
          <w:noProof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 xml:space="preserve">0 </m:t>
            </m:r>
          </m:sub>
        </m:sSub>
      </m:oMath>
      <w:r w:rsidR="00102292" w:rsidRPr="00411D96">
        <w:rPr>
          <w:rFonts w:asciiTheme="minorHAnsi" w:hAnsiTheme="minorHAnsi"/>
        </w:rPr>
        <w:t xml:space="preserve"> </w:t>
      </w:r>
      <w:r w:rsidR="00102292" w:rsidRPr="00411D96">
        <w:rPr>
          <w:rFonts w:asciiTheme="minorHAnsi" w:hAnsiTheme="minorHAnsi"/>
        </w:rPr>
        <w:sym w:font="Wingdings" w:char="F0E0"/>
      </w:r>
      <w:r w:rsidR="00102292" w:rsidRPr="00411D96">
        <w:rPr>
          <w:rFonts w:asciiTheme="minorHAnsi" w:hAnsiTheme="minorHAnsi"/>
        </w:rPr>
        <w:t xml:space="preserve">  </w:t>
      </w:r>
      <m:oMath>
        <m:sSub>
          <m:sSubPr>
            <m:ctrlPr>
              <w:rPr>
                <w:rFonts w:ascii="Cambria Math" w:hAnsi="Cambria Math"/>
                <w:szCs w:val="20"/>
              </w:rPr>
            </m:ctrlPr>
          </m:sSubPr>
          <m:e>
            <m:r>
              <w:rPr>
                <w:rFonts w:ascii="Cambria Math" w:hAnsi="Cambria Math"/>
                <w:szCs w:val="20"/>
              </w:rPr>
              <m:t>P</m:t>
            </m:r>
          </m:e>
          <m:sub>
            <m:r>
              <w:rPr>
                <w:rFonts w:ascii="Cambria Math" w:hAnsi="Cambria Math"/>
                <w:szCs w:val="20"/>
              </w:rPr>
              <m:t>Upp</m:t>
            </m:r>
          </m:sub>
        </m:sSub>
      </m:oMath>
      <w:r w:rsidR="00102292" w:rsidRPr="00411D96">
        <w:rPr>
          <w:rFonts w:asciiTheme="minorHAnsi" w:hAnsiTheme="minorHAnsi"/>
        </w:rPr>
        <w:t xml:space="preserve"> </w:t>
      </w:r>
      <w:r w:rsidR="00102292" w:rsidRPr="00411D96">
        <w:rPr>
          <w:rFonts w:asciiTheme="minorHAnsi" w:hAnsiTheme="minorHAnsi"/>
        </w:rPr>
        <w:sym w:font="Wingdings" w:char="F0E0"/>
      </w:r>
      <w:r w:rsidR="00102292" w:rsidRPr="00411D96">
        <w:rPr>
          <w:rFonts w:asciiTheme="minorHAnsi" w:hAnsiTheme="minorHAnsi"/>
        </w:rPr>
        <w:t xml:space="preserve"> 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 w:rsidR="00102292" w:rsidRPr="00411D96">
        <w:rPr>
          <w:rFonts w:asciiTheme="minorHAnsi" w:hAnsiTheme="minorHAnsi"/>
        </w:rPr>
        <w:t xml:space="preserve"> </w:t>
      </w:r>
    </w:p>
    <w:p w14:paraId="2E4A0D44" w14:textId="77777777" w:rsidR="00102292" w:rsidRDefault="00102292" w:rsidP="00102292">
      <w:pPr>
        <w:pStyle w:val="Liststycke"/>
        <w:suppressAutoHyphens/>
        <w:rPr>
          <w:noProof/>
        </w:rPr>
      </w:pPr>
    </w:p>
    <w:p w14:paraId="69EBBC6C" w14:textId="77777777" w:rsidR="00102292" w:rsidRDefault="00102292" w:rsidP="00102292">
      <w:pPr>
        <w:pStyle w:val="Liststycke"/>
        <w:suppressAutoHyphens/>
        <w:jc w:val="center"/>
        <w:rPr>
          <w:noProof/>
        </w:rPr>
      </w:pPr>
      <w:r w:rsidRPr="00DE0D3B">
        <w:rPr>
          <w:noProof/>
        </w:rPr>
        <w:drawing>
          <wp:inline distT="0" distB="0" distL="0" distR="0" wp14:anchorId="73BC2353" wp14:editId="13A420FD">
            <wp:extent cx="2853317" cy="1286952"/>
            <wp:effectExtent l="0" t="0" r="0" b="0"/>
            <wp:docPr id="4" name="Bildobjekt 4" descr="G:\Division System\Kraftsystem\SKU\Förkvalificering\Mallar\FRR\Illustrationer\Upp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Division System\Kraftsystem\SKU\Förkvalificering\Mallar\FRR\Illustrationer\Upp.emf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50" t="10439" r="31330" b="43891"/>
                    <a:stretch/>
                  </pic:blipFill>
                  <pic:spPr bwMode="auto">
                    <a:xfrm>
                      <a:off x="0" y="0"/>
                      <a:ext cx="2855712" cy="1288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3A86975" w14:textId="77777777" w:rsidR="00102292" w:rsidRPr="00480BC7" w:rsidRDefault="00102292" w:rsidP="00102292">
      <w:pPr>
        <w:pStyle w:val="Liststycke"/>
        <w:suppressAutoHyphens/>
        <w:rPr>
          <w:rFonts w:asciiTheme="minorHAnsi" w:hAnsiTheme="minorHAnsi"/>
          <w:noProof/>
        </w:rPr>
      </w:pPr>
    </w:p>
    <w:p w14:paraId="3EE26866" w14:textId="18B163C7" w:rsidR="00102292" w:rsidRPr="00480BC7" w:rsidRDefault="00102292" w:rsidP="00102292">
      <w:pPr>
        <w:pStyle w:val="Liststycke"/>
        <w:suppressAutoHyphens/>
        <w:rPr>
          <w:rFonts w:asciiTheme="minorHAnsi" w:hAnsiTheme="minorHAnsi"/>
          <w:sz w:val="16"/>
          <w:szCs w:val="16"/>
        </w:rPr>
      </w:pPr>
      <w:r w:rsidRPr="00480BC7">
        <w:rPr>
          <w:rFonts w:asciiTheme="minorHAnsi" w:hAnsiTheme="minorHAnsi"/>
          <w:sz w:val="16"/>
          <w:szCs w:val="16"/>
        </w:rPr>
        <w:t xml:space="preserve">Figur </w:t>
      </w:r>
      <w:r w:rsidRPr="00480BC7">
        <w:rPr>
          <w:rFonts w:asciiTheme="minorHAnsi" w:hAnsiTheme="minorHAnsi"/>
          <w:sz w:val="16"/>
          <w:szCs w:val="16"/>
        </w:rPr>
        <w:fldChar w:fldCharType="begin"/>
      </w:r>
      <w:r w:rsidRPr="00480BC7">
        <w:rPr>
          <w:rFonts w:asciiTheme="minorHAnsi" w:hAnsiTheme="minorHAnsi"/>
          <w:sz w:val="16"/>
          <w:szCs w:val="16"/>
        </w:rPr>
        <w:instrText xml:space="preserve"> SEQ Figure \* ARABIC </w:instrText>
      </w:r>
      <w:r w:rsidRPr="00480BC7">
        <w:rPr>
          <w:rFonts w:asciiTheme="minorHAnsi" w:hAnsiTheme="minorHAnsi"/>
          <w:sz w:val="16"/>
          <w:szCs w:val="16"/>
        </w:rPr>
        <w:fldChar w:fldCharType="separate"/>
      </w:r>
      <w:r w:rsidRPr="00480BC7">
        <w:rPr>
          <w:rFonts w:asciiTheme="minorHAnsi" w:hAnsiTheme="minorHAnsi"/>
          <w:sz w:val="16"/>
          <w:szCs w:val="16"/>
        </w:rPr>
        <w:t>1</w:t>
      </w:r>
      <w:r w:rsidRPr="00480BC7">
        <w:rPr>
          <w:rFonts w:asciiTheme="minorHAnsi" w:hAnsiTheme="minorHAnsi"/>
          <w:sz w:val="16"/>
          <w:szCs w:val="16"/>
        </w:rPr>
        <w:fldChar w:fldCharType="end"/>
      </w:r>
      <w:r w:rsidRPr="00480BC7">
        <w:rPr>
          <w:rFonts w:asciiTheme="minorHAnsi" w:hAnsiTheme="minorHAnsi"/>
          <w:sz w:val="16"/>
          <w:szCs w:val="16"/>
        </w:rPr>
        <w:t xml:space="preserve">. Aktiveringssekvens för </w:t>
      </w:r>
      <w:proofErr w:type="spellStart"/>
      <w:r w:rsidRPr="00480BC7">
        <w:rPr>
          <w:rFonts w:asciiTheme="minorHAnsi" w:hAnsiTheme="minorHAnsi"/>
          <w:sz w:val="16"/>
          <w:szCs w:val="16"/>
        </w:rPr>
        <w:t>mFRR</w:t>
      </w:r>
      <w:proofErr w:type="spellEnd"/>
      <w:r w:rsidRPr="00480BC7">
        <w:rPr>
          <w:rFonts w:asciiTheme="minorHAnsi" w:hAnsiTheme="minorHAnsi"/>
          <w:sz w:val="16"/>
          <w:szCs w:val="16"/>
        </w:rPr>
        <w:t xml:space="preserve">, där </w:t>
      </w:r>
      <m:oMath>
        <m:r>
          <m:rPr>
            <m:sty m:val="p"/>
          </m:rPr>
          <w:rPr>
            <w:rFonts w:ascii="Cambria Math" w:hAnsi="Cambria Math"/>
            <w:sz w:val="16"/>
            <w:szCs w:val="16"/>
          </w:rPr>
          <m:t>∆</m:t>
        </m:r>
        <m:r>
          <w:rPr>
            <w:rFonts w:ascii="Cambria Math" w:hAnsi="Cambria Math"/>
            <w:sz w:val="16"/>
            <w:szCs w:val="16"/>
          </w:rPr>
          <m:t>T</m:t>
        </m:r>
        <m:r>
          <m:rPr>
            <m:sty m:val="p"/>
          </m:rPr>
          <w:rPr>
            <w:rFonts w:ascii="Cambria Math" w:hAnsi="Cambria Math"/>
            <w:sz w:val="16"/>
            <w:szCs w:val="16"/>
          </w:rPr>
          <m:t xml:space="preserve"> </m:t>
        </m:r>
      </m:oMath>
      <w:r w:rsidRPr="00480BC7">
        <w:rPr>
          <w:rFonts w:asciiTheme="minorHAnsi" w:hAnsiTheme="minorHAnsi"/>
          <w:sz w:val="16"/>
          <w:szCs w:val="16"/>
        </w:rPr>
        <w:t xml:space="preserve">är mindre än eller lika med angiven aktiveringstid. Siffrorna motsvarar de steg som utförs i aktiveringssekvensen för mFRR uppreglering. </w:t>
      </w:r>
    </w:p>
    <w:p w14:paraId="0ECBE20E" w14:textId="77777777" w:rsidR="00102292" w:rsidRPr="00077E01" w:rsidRDefault="00102292" w:rsidP="00102292">
      <w:pPr>
        <w:ind w:left="720"/>
      </w:pPr>
    </w:p>
    <w:p w14:paraId="3EABF420" w14:textId="45DE64F3" w:rsidR="00102292" w:rsidRPr="00411D96" w:rsidRDefault="00102292" w:rsidP="00102292">
      <w:pPr>
        <w:pStyle w:val="Beskrivning"/>
        <w:keepNext/>
        <w:ind w:left="709"/>
        <w:rPr>
          <w:rFonts w:asciiTheme="minorHAnsi" w:hAnsiTheme="minorHAnsi"/>
        </w:rPr>
      </w:pPr>
      <w:r w:rsidRPr="00411D96">
        <w:rPr>
          <w:rFonts w:asciiTheme="minorHAnsi" w:hAnsiTheme="minorHAnsi"/>
        </w:rPr>
        <w:t xml:space="preserve">Tabell </w:t>
      </w:r>
      <w:r w:rsidR="00FF1395">
        <w:rPr>
          <w:rFonts w:asciiTheme="minorHAnsi" w:hAnsiTheme="minorHAnsi"/>
        </w:rPr>
        <w:t>4</w:t>
      </w:r>
      <w:r w:rsidRPr="00411D96">
        <w:rPr>
          <w:rFonts w:asciiTheme="minorHAnsi" w:hAnsiTheme="minorHAnsi"/>
        </w:rPr>
        <w:t>. Definition av beteckningar i Figur 1.</w:t>
      </w:r>
    </w:p>
    <w:tbl>
      <w:tblPr>
        <w:tblStyle w:val="SvKTabellformat"/>
        <w:tblW w:w="6662" w:type="dxa"/>
        <w:tblInd w:w="649" w:type="dxa"/>
        <w:tblLook w:val="0480" w:firstRow="0" w:lastRow="0" w:firstColumn="1" w:lastColumn="0" w:noHBand="0" w:noVBand="1"/>
      </w:tblPr>
      <w:tblGrid>
        <w:gridCol w:w="992"/>
        <w:gridCol w:w="284"/>
        <w:gridCol w:w="5386"/>
      </w:tblGrid>
      <w:tr w:rsidR="00102292" w:rsidRPr="00077E01" w14:paraId="794DF11C" w14:textId="77777777" w:rsidTr="00D204CA">
        <w:trPr>
          <w:trHeight w:val="354"/>
        </w:trPr>
        <w:tc>
          <w:tcPr>
            <w:tcW w:w="992" w:type="dxa"/>
            <w:vAlign w:val="center"/>
          </w:tcPr>
          <w:p w14:paraId="65C13C93" w14:textId="73CF3093" w:rsidR="00102292" w:rsidRPr="00077E01" w:rsidRDefault="00EE5A53" w:rsidP="00102292">
            <w:pPr>
              <w:pStyle w:val="Tabelltext"/>
              <w:keepNext/>
              <w:ind w:hanging="363"/>
              <w:rPr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Upp</m:t>
                    </m:r>
                  </m:sub>
                </m:sSub>
                <m:r>
                  <w:rPr>
                    <w:rStyle w:val="Fotnotsreferens"/>
                    <w:rFonts w:ascii="Cambria Math" w:hAnsi="Cambria Math"/>
                    <w:i/>
                    <w:sz w:val="20"/>
                    <w:szCs w:val="20"/>
                  </w:rPr>
                  <w:footnoteReference w:id="4"/>
                </m:r>
              </m:oMath>
            </m:oMathPara>
          </w:p>
        </w:tc>
        <w:tc>
          <w:tcPr>
            <w:tcW w:w="5670" w:type="dxa"/>
            <w:gridSpan w:val="2"/>
          </w:tcPr>
          <w:p w14:paraId="413DC226" w14:textId="77777777" w:rsidR="00102292" w:rsidRPr="00077E01" w:rsidRDefault="00102292" w:rsidP="00D204CA">
            <w:pPr>
              <w:pStyle w:val="Tabelltext"/>
              <w:keepNext/>
              <w:ind w:left="72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Börvärde</w:t>
            </w:r>
            <w:proofErr w:type="spellEnd"/>
            <w:r>
              <w:rPr>
                <w:sz w:val="20"/>
                <w:szCs w:val="20"/>
              </w:rPr>
              <w:t xml:space="preserve"> aktiv effekt efter maximal aktivering av </w:t>
            </w:r>
            <w:proofErr w:type="spellStart"/>
            <w:r>
              <w:rPr>
                <w:sz w:val="20"/>
                <w:szCs w:val="20"/>
              </w:rPr>
              <w:t>mFRR</w:t>
            </w:r>
            <w:proofErr w:type="spellEnd"/>
            <w:r>
              <w:rPr>
                <w:sz w:val="20"/>
                <w:szCs w:val="20"/>
              </w:rPr>
              <w:t xml:space="preserve"> uppreglering.</w:t>
            </w:r>
          </w:p>
        </w:tc>
      </w:tr>
      <w:tr w:rsidR="00102292" w:rsidRPr="00077E01" w14:paraId="046D6845" w14:textId="77777777" w:rsidTr="00D204CA">
        <w:trPr>
          <w:trHeight w:val="352"/>
        </w:trPr>
        <w:tc>
          <w:tcPr>
            <w:tcW w:w="992" w:type="dxa"/>
            <w:vAlign w:val="center"/>
          </w:tcPr>
          <w:p w14:paraId="3E27C00D" w14:textId="77777777" w:rsidR="00102292" w:rsidRPr="00D204CA" w:rsidRDefault="00EE5A53" w:rsidP="00D204CA">
            <w:pPr>
              <w:pStyle w:val="Tabelltext"/>
              <w:keepNext/>
              <w:ind w:hanging="363"/>
              <w:rPr>
                <w:sz w:val="20"/>
                <w:szCs w:val="20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0</m:t>
                    </m:r>
                  </m:sub>
                </m:sSub>
              </m:oMath>
            </m:oMathPara>
          </w:p>
        </w:tc>
        <w:tc>
          <w:tcPr>
            <w:tcW w:w="5670" w:type="dxa"/>
            <w:gridSpan w:val="2"/>
          </w:tcPr>
          <w:p w14:paraId="15FF7663" w14:textId="77777777" w:rsidR="00102292" w:rsidRPr="00077E01" w:rsidRDefault="00102292" w:rsidP="00102292">
            <w:pPr>
              <w:pStyle w:val="Tabelltext"/>
              <w:keepNext/>
              <w:ind w:left="72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Börvärde</w:t>
            </w:r>
            <w:proofErr w:type="spellEnd"/>
            <w:r>
              <w:rPr>
                <w:sz w:val="20"/>
                <w:szCs w:val="20"/>
              </w:rPr>
              <w:t xml:space="preserve"> aktiv effekt innan aktivering av </w:t>
            </w:r>
            <w:r>
              <w:rPr>
                <w:sz w:val="20"/>
                <w:szCs w:val="20"/>
              </w:rPr>
              <w:br/>
            </w:r>
            <w:proofErr w:type="spellStart"/>
            <w:r>
              <w:rPr>
                <w:sz w:val="20"/>
                <w:szCs w:val="20"/>
              </w:rPr>
              <w:t>mFRR</w:t>
            </w:r>
            <w:proofErr w:type="spellEnd"/>
            <w:r>
              <w:rPr>
                <w:sz w:val="20"/>
                <w:szCs w:val="20"/>
              </w:rPr>
              <w:t xml:space="preserve"> uppreglering.</w:t>
            </w:r>
          </w:p>
        </w:tc>
      </w:tr>
      <w:tr w:rsidR="00102292" w:rsidRPr="00077E01" w14:paraId="178AFB0A" w14:textId="77777777" w:rsidTr="00D204CA">
        <w:trPr>
          <w:trHeight w:val="354"/>
        </w:trPr>
        <w:tc>
          <w:tcPr>
            <w:tcW w:w="992" w:type="dxa"/>
            <w:vAlign w:val="center"/>
          </w:tcPr>
          <w:p w14:paraId="7445CA4C" w14:textId="37DF9EE6" w:rsidR="00102292" w:rsidRPr="00077E01" w:rsidRDefault="00102292" w:rsidP="009605CA">
            <w:pPr>
              <w:pStyle w:val="Tabelltext"/>
              <w:keepNext/>
              <w:ind w:hanging="363"/>
              <w:rPr>
                <w:sz w:val="20"/>
                <w:szCs w:val="20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</w:rPr>
                  <m:t>∆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Upp</m:t>
                    </m:r>
                  </m:sub>
                </m:sSub>
              </m:oMath>
            </m:oMathPara>
          </w:p>
        </w:tc>
        <w:tc>
          <w:tcPr>
            <w:tcW w:w="5670" w:type="dxa"/>
            <w:gridSpan w:val="2"/>
          </w:tcPr>
          <w:p w14:paraId="346EBE65" w14:textId="4B3B5FF9" w:rsidR="00102292" w:rsidRPr="00077E01" w:rsidRDefault="00102292" w:rsidP="005D314A">
            <w:pPr>
              <w:pStyle w:val="Tabelltext"/>
              <w:keepNext/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Den tid som åtgår från det att </w:t>
            </w:r>
            <w:proofErr w:type="gramStart"/>
            <w:r>
              <w:rPr>
                <w:sz w:val="20"/>
                <w:szCs w:val="20"/>
              </w:rPr>
              <w:t>Svenska</w:t>
            </w:r>
            <w:proofErr w:type="gramEnd"/>
            <w:r>
              <w:rPr>
                <w:sz w:val="20"/>
                <w:szCs w:val="20"/>
              </w:rPr>
              <w:t xml:space="preserve"> kraftnät </w:t>
            </w:r>
            <w:r>
              <w:rPr>
                <w:sz w:val="20"/>
                <w:szCs w:val="20"/>
              </w:rPr>
              <w:br/>
              <w:t xml:space="preserve">beordrar aktivering av enheten eller gruppen till det att </w:t>
            </w:r>
            <w:r w:rsidRPr="00077E01">
              <w:rPr>
                <w:sz w:val="20"/>
                <w:szCs w:val="20"/>
              </w:rPr>
              <w:t>aktiv effekt</w:t>
            </w:r>
            <w:r>
              <w:rPr>
                <w:sz w:val="20"/>
                <w:szCs w:val="20"/>
              </w:rPr>
              <w:t xml:space="preserve"> har </w:t>
            </w:r>
            <w:r w:rsidR="005D314A">
              <w:rPr>
                <w:sz w:val="20"/>
                <w:szCs w:val="20"/>
              </w:rPr>
              <w:t>ändrats</w:t>
            </w:r>
            <w:r w:rsidR="005D314A" w:rsidRPr="00077E01">
              <w:rPr>
                <w:sz w:val="20"/>
                <w:szCs w:val="20"/>
              </w:rPr>
              <w:t xml:space="preserve"> </w:t>
            </w:r>
            <w:r w:rsidRPr="00077E01">
              <w:rPr>
                <w:sz w:val="20"/>
                <w:szCs w:val="20"/>
              </w:rPr>
              <w:t xml:space="preserve">från </w:t>
            </w:r>
            <m:oMath>
              <m:sSub>
                <m:sSubPr>
                  <m:ctrlPr>
                    <w:rPr>
                      <w:rFonts w:ascii="Cambria Math" w:hAnsi="Cambria Math"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</w:rPr>
                    <m:t>0</m:t>
                  </m:r>
                </m:sub>
              </m:sSub>
            </m:oMath>
            <w:r w:rsidRPr="00077E01">
              <w:rPr>
                <w:sz w:val="20"/>
                <w:szCs w:val="20"/>
              </w:rPr>
              <w:t xml:space="preserve"> till </w:t>
            </w:r>
            <m:oMath>
              <m:sSub>
                <m:sSubPr>
                  <m:ctrlPr>
                    <w:rPr>
                      <w:rFonts w:ascii="Cambria Math" w:hAnsi="Cambria Math"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</w:rPr>
                    <m:t>Upp</m:t>
                  </m:r>
                </m:sub>
              </m:sSub>
            </m:oMath>
            <w:r>
              <w:rPr>
                <w:sz w:val="20"/>
                <w:szCs w:val="20"/>
              </w:rPr>
              <w:t>.</w:t>
            </w:r>
            <w:r w:rsidRPr="00077E01">
              <w:rPr>
                <w:sz w:val="20"/>
                <w:szCs w:val="20"/>
              </w:rPr>
              <w:t xml:space="preserve"> </w:t>
            </w:r>
          </w:p>
        </w:tc>
      </w:tr>
      <w:tr w:rsidR="00102292" w:rsidRPr="00077E01" w14:paraId="122733FC" w14:textId="77777777" w:rsidTr="00D204CA">
        <w:trPr>
          <w:trHeight w:val="354"/>
        </w:trPr>
        <w:tc>
          <w:tcPr>
            <w:tcW w:w="992" w:type="dxa"/>
            <w:vAlign w:val="center"/>
          </w:tcPr>
          <w:p w14:paraId="49CD7A03" w14:textId="5CBB3CDE" w:rsidR="00102292" w:rsidRDefault="00102292" w:rsidP="009605CA">
            <w:pPr>
              <w:pStyle w:val="Tabelltext"/>
              <w:keepNext/>
              <w:ind w:hanging="363"/>
              <w:rPr>
                <w:rFonts w:ascii="Georgia" w:hAnsi="Georgia"/>
                <w:sz w:val="20"/>
                <w:szCs w:val="20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</w:rPr>
                  <m:t>∆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Upp</m:t>
                    </m:r>
                  </m:sub>
                </m:sSub>
              </m:oMath>
            </m:oMathPara>
          </w:p>
        </w:tc>
        <w:tc>
          <w:tcPr>
            <w:tcW w:w="5670" w:type="dxa"/>
            <w:gridSpan w:val="2"/>
          </w:tcPr>
          <w:p w14:paraId="6ACE9496" w14:textId="01D54DCC" w:rsidR="00102292" w:rsidRDefault="00102292" w:rsidP="009605CA">
            <w:pPr>
              <w:pStyle w:val="Tabelltext"/>
              <w:keepNext/>
              <w:ind w:left="720"/>
              <w:rPr>
                <w:sz w:val="20"/>
                <w:szCs w:val="20"/>
              </w:rPr>
            </w:pPr>
            <w:r w:rsidRPr="00077E01">
              <w:rPr>
                <w:sz w:val="20"/>
                <w:szCs w:val="20"/>
              </w:rPr>
              <w:t xml:space="preserve">Differensen mellan </w:t>
            </w:r>
            <m:oMath>
              <m:sSub>
                <m:sSubPr>
                  <m:ctrlPr>
                    <w:rPr>
                      <w:rFonts w:ascii="Cambria Math" w:hAnsi="Cambria Math"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</w:rPr>
                    <m:t>Upp</m:t>
                  </m:r>
                </m:sub>
              </m:sSub>
            </m:oMath>
            <w:r w:rsidRPr="00077E01">
              <w:rPr>
                <w:sz w:val="20"/>
                <w:szCs w:val="20"/>
              </w:rPr>
              <w:t xml:space="preserve"> och </w:t>
            </w:r>
            <m:oMath>
              <m:sSub>
                <m:sSubPr>
                  <m:ctrlPr>
                    <w:rPr>
                      <w:rFonts w:ascii="Cambria Math" w:hAnsi="Cambria Math"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0"/>
                  <w:szCs w:val="20"/>
                </w:rPr>
                <m:t>.</m:t>
              </m:r>
            </m:oMath>
            <w:r w:rsidRPr="00077E0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  <w:t>Om</w:t>
            </w:r>
            <w:r w:rsidRPr="00077E0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testet</w:t>
            </w:r>
            <w:r w:rsidRPr="00077E01">
              <w:rPr>
                <w:sz w:val="20"/>
                <w:szCs w:val="20"/>
              </w:rPr>
              <w:t xml:space="preserve"> utförs korrekt är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∆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</w:rPr>
                    <m:t>Upp</m:t>
                  </m:r>
                </m:sub>
              </m:sSub>
            </m:oMath>
            <w:r w:rsidRPr="00077E01">
              <w:rPr>
                <w:sz w:val="20"/>
                <w:szCs w:val="20"/>
              </w:rPr>
              <w:t xml:space="preserve"> = </w:t>
            </w:r>
            <w:r>
              <w:rPr>
                <w:sz w:val="20"/>
                <w:szCs w:val="20"/>
              </w:rPr>
              <w:t>önskad kapacitet.</w:t>
            </w:r>
          </w:p>
        </w:tc>
      </w:tr>
      <w:tr w:rsidR="00102292" w:rsidRPr="00102292" w14:paraId="0701B816" w14:textId="77777777" w:rsidTr="00D204CA">
        <w:trPr>
          <w:trHeight w:val="354"/>
        </w:trPr>
        <w:tc>
          <w:tcPr>
            <w:tcW w:w="1276" w:type="dxa"/>
            <w:gridSpan w:val="2"/>
          </w:tcPr>
          <w:p w14:paraId="0501F6D5" w14:textId="77777777" w:rsidR="00102292" w:rsidRPr="00102292" w:rsidRDefault="00102292" w:rsidP="00D204CA">
            <w:pPr>
              <w:pStyle w:val="Tabelltext"/>
              <w:keepNext/>
              <w:ind w:left="720"/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5386" w:type="dxa"/>
            <w:tcBorders>
              <w:top w:val="single" w:sz="4" w:space="0" w:color="auto"/>
              <w:bottom w:val="nil"/>
            </w:tcBorders>
          </w:tcPr>
          <w:p w14:paraId="37670A45" w14:textId="77777777" w:rsidR="00102292" w:rsidRPr="00102292" w:rsidRDefault="00102292" w:rsidP="00D204CA">
            <w:pPr>
              <w:pStyle w:val="Tabelltext"/>
              <w:keepNext/>
              <w:ind w:left="720"/>
              <w:rPr>
                <w:sz w:val="16"/>
                <w:szCs w:val="16"/>
              </w:rPr>
            </w:pPr>
          </w:p>
        </w:tc>
      </w:tr>
    </w:tbl>
    <w:p w14:paraId="5B98582C" w14:textId="77777777" w:rsidR="00102292" w:rsidRPr="00411D96" w:rsidRDefault="00102292" w:rsidP="00102292">
      <w:pPr>
        <w:pStyle w:val="Numreradlista"/>
        <w:numPr>
          <w:ilvl w:val="0"/>
          <w:numId w:val="16"/>
        </w:numPr>
        <w:rPr>
          <w:rFonts w:asciiTheme="minorHAnsi" w:hAnsiTheme="minorHAnsi"/>
        </w:rPr>
      </w:pPr>
      <w:r w:rsidRPr="00411D96">
        <w:rPr>
          <w:rFonts w:asciiTheme="minorHAnsi" w:hAnsiTheme="minorHAnsi"/>
        </w:rPr>
        <w:t>Inled med att säkerställa att aktiv effekt är i överensstämmelse med fastställd plan (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 w:rsidRPr="00411D96">
        <w:rPr>
          <w:rFonts w:asciiTheme="minorHAnsi" w:hAnsiTheme="minorHAnsi"/>
        </w:rPr>
        <w:t xml:space="preserve">). I Figur 1 illustreras denna nivå med en svart linje. </w:t>
      </w:r>
    </w:p>
    <w:p w14:paraId="7E7B718A" w14:textId="32680330" w:rsidR="00102292" w:rsidRPr="00411D96" w:rsidRDefault="00102292" w:rsidP="00102292">
      <w:pPr>
        <w:pStyle w:val="Numreradlista"/>
        <w:numPr>
          <w:ilvl w:val="0"/>
          <w:numId w:val="16"/>
        </w:numPr>
        <w:rPr>
          <w:rFonts w:asciiTheme="minorHAnsi" w:hAnsiTheme="minorHAnsi"/>
        </w:rPr>
      </w:pPr>
      <w:r w:rsidRPr="00411D96">
        <w:rPr>
          <w:rFonts w:asciiTheme="minorHAnsi" w:hAnsiTheme="minorHAnsi"/>
        </w:rPr>
        <w:t>Öka därefter aktiv effekt till</w:t>
      </w:r>
      <w:r w:rsidR="00FE6500">
        <w:rPr>
          <w:rFonts w:asciiTheme="minorHAnsi" w:hAnsiTheme="minorHAnsi"/>
        </w:rPr>
        <w:t>s</w:t>
      </w:r>
      <w:r w:rsidRPr="00411D96">
        <w:rPr>
          <w:rFonts w:asciiTheme="minorHAnsi" w:hAnsiTheme="minorHAnsi"/>
        </w:rPr>
        <w:t xml:space="preserve"> den uppnår nivå för avsedd </w:t>
      </w:r>
      <w:proofErr w:type="gramStart"/>
      <w:r w:rsidRPr="00411D96">
        <w:rPr>
          <w:rFonts w:asciiTheme="minorHAnsi" w:hAnsiTheme="minorHAnsi"/>
        </w:rPr>
        <w:t>maximalt aktivering</w:t>
      </w:r>
      <w:proofErr w:type="gramEnd"/>
      <w:r w:rsidRPr="00411D96">
        <w:rPr>
          <w:rFonts w:asciiTheme="minorHAnsi" w:hAnsiTheme="minorHAnsi"/>
        </w:rPr>
        <w:t xml:space="preserve"> av </w:t>
      </w:r>
      <w:proofErr w:type="spellStart"/>
      <w:r w:rsidRPr="00411D96">
        <w:rPr>
          <w:rFonts w:asciiTheme="minorHAnsi" w:hAnsiTheme="minorHAnsi"/>
        </w:rPr>
        <w:t>mFRR</w:t>
      </w:r>
      <w:proofErr w:type="spellEnd"/>
      <w:r w:rsidRPr="00411D96">
        <w:rPr>
          <w:rFonts w:asciiTheme="minorHAnsi" w:hAnsiTheme="minorHAnsi"/>
        </w:rPr>
        <w:t xml:space="preserve"> uppreglering (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Upp</m:t>
            </m:r>
          </m:sub>
        </m:sSub>
      </m:oMath>
      <w:r w:rsidRPr="00411D96">
        <w:rPr>
          <w:rFonts w:asciiTheme="minorHAnsi" w:hAnsiTheme="minorHAnsi"/>
        </w:rPr>
        <w:t>). Aktiv effekt ska ökas i enlighet med fastställda tekniska krav för den aktuella enheten eller gruppen. Enheten eller gruppen måste vara helt aktiverad inom den angivna</w:t>
      </w:r>
      <w:r w:rsidRPr="00077E01">
        <w:t xml:space="preserve"> </w:t>
      </w:r>
      <w:r w:rsidRPr="00411D96">
        <w:rPr>
          <w:rFonts w:asciiTheme="minorHAnsi" w:hAnsiTheme="minorHAnsi"/>
        </w:rPr>
        <w:lastRenderedPageBreak/>
        <w:t xml:space="preserve">aktiveringstiden, d.v.s. inom det blå området i Figur 1. Ett exempel på hur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Upp</m:t>
            </m:r>
          </m:sub>
        </m:sSub>
      </m:oMath>
      <w:r w:rsidRPr="00411D96">
        <w:rPr>
          <w:rFonts w:asciiTheme="minorHAnsi" w:hAnsiTheme="minorHAnsi"/>
        </w:rPr>
        <w:t xml:space="preserve"> kan uppnås illustreras genom den röda linjen.</w:t>
      </w:r>
    </w:p>
    <w:p w14:paraId="788D7D2F" w14:textId="78DAF870" w:rsidR="00A133D3" w:rsidRPr="00A133D3" w:rsidRDefault="00102292" w:rsidP="00A133D3">
      <w:pPr>
        <w:pStyle w:val="Brdtext"/>
        <w:numPr>
          <w:ilvl w:val="0"/>
          <w:numId w:val="16"/>
        </w:numPr>
        <w:rPr>
          <w:rFonts w:asciiTheme="minorHAnsi" w:hAnsiTheme="minorHAnsi"/>
        </w:rPr>
      </w:pPr>
      <w:r w:rsidRPr="0024036C">
        <w:rPr>
          <w:rFonts w:asciiTheme="minorHAnsi" w:hAnsiTheme="minorHAnsi"/>
        </w:rPr>
        <w:t xml:space="preserve">När nivå för maximal aktivering av </w:t>
      </w:r>
      <w:proofErr w:type="spellStart"/>
      <w:r w:rsidRPr="0024036C">
        <w:rPr>
          <w:rFonts w:asciiTheme="minorHAnsi" w:hAnsiTheme="minorHAnsi"/>
        </w:rPr>
        <w:t>mFRR</w:t>
      </w:r>
      <w:proofErr w:type="spellEnd"/>
      <w:r w:rsidRPr="0024036C">
        <w:rPr>
          <w:rFonts w:asciiTheme="minorHAnsi" w:hAnsiTheme="minorHAnsi"/>
        </w:rPr>
        <w:t xml:space="preserve"> uppreglering (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Upp</m:t>
            </m:r>
          </m:sub>
        </m:sSub>
      </m:oMath>
      <w:r w:rsidRPr="0024036C">
        <w:rPr>
          <w:rFonts w:asciiTheme="minorHAnsi" w:hAnsiTheme="minorHAnsi"/>
        </w:rPr>
        <w:t xml:space="preserve">) har uppnåtts, ska denna nivå bibehållas i </w:t>
      </w:r>
      <w:r w:rsidR="00A94F21">
        <w:rPr>
          <w:rFonts w:asciiTheme="minorHAnsi" w:hAnsiTheme="minorHAnsi"/>
        </w:rPr>
        <w:t xml:space="preserve">15 minuter och om leverantören planerar att delta med direktaktiveringar ska uthållighetstestet istället genomföras i </w:t>
      </w:r>
      <w:r w:rsidRPr="0024036C">
        <w:rPr>
          <w:rFonts w:asciiTheme="minorHAnsi" w:hAnsiTheme="minorHAnsi"/>
        </w:rPr>
        <w:t xml:space="preserve">minst </w:t>
      </w:r>
      <w:r w:rsidR="00EB0A7B">
        <w:rPr>
          <w:rFonts w:asciiTheme="minorHAnsi" w:hAnsiTheme="minorHAnsi"/>
        </w:rPr>
        <w:t>30</w:t>
      </w:r>
      <w:r w:rsidR="00A94F21">
        <w:rPr>
          <w:rFonts w:asciiTheme="minorHAnsi" w:hAnsiTheme="minorHAnsi"/>
        </w:rPr>
        <w:t xml:space="preserve"> min</w:t>
      </w:r>
      <w:r w:rsidRPr="0024036C">
        <w:rPr>
          <w:rFonts w:asciiTheme="minorHAnsi" w:hAnsiTheme="minorHAnsi"/>
        </w:rPr>
        <w:t xml:space="preserve"> för att testa uthålligheten. </w:t>
      </w:r>
      <w:r w:rsidR="00A133D3">
        <w:t xml:space="preserve">Uthålligheten behöver dock endast testas för den kapacitet då uthållighetskravet är svårast att uppfylla, vilket normalt är den maximala kapaciteten. </w:t>
      </w:r>
    </w:p>
    <w:p w14:paraId="339D055B" w14:textId="65D9D626" w:rsidR="00102292" w:rsidRDefault="00102292" w:rsidP="00102292">
      <w:pPr>
        <w:pStyle w:val="Brdtext"/>
        <w:numPr>
          <w:ilvl w:val="0"/>
          <w:numId w:val="16"/>
        </w:numPr>
        <w:rPr>
          <w:rFonts w:asciiTheme="minorHAnsi" w:hAnsiTheme="minorHAnsi"/>
        </w:rPr>
      </w:pPr>
      <w:r w:rsidRPr="00411D96">
        <w:rPr>
          <w:rFonts w:asciiTheme="minorHAnsi" w:hAnsiTheme="minorHAnsi"/>
        </w:rPr>
        <w:t xml:space="preserve">Aktiv effekt återställs slutligen från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Upp</m:t>
            </m:r>
          </m:sub>
        </m:sSub>
      </m:oMath>
      <w:r w:rsidRPr="00411D96">
        <w:rPr>
          <w:rFonts w:asciiTheme="minorHAnsi" w:hAnsiTheme="minorHAnsi"/>
        </w:rPr>
        <w:t xml:space="preserve"> till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 w:rsidRPr="00411D96">
        <w:rPr>
          <w:rFonts w:asciiTheme="minorHAnsi" w:hAnsiTheme="minorHAnsi"/>
        </w:rPr>
        <w:t>.</w:t>
      </w:r>
    </w:p>
    <w:p w14:paraId="29E3497B" w14:textId="16D078DA" w:rsidR="00102292" w:rsidRDefault="00727F47" w:rsidP="00BB169E">
      <w:pPr>
        <w:pStyle w:val="Brdtext"/>
        <w:numPr>
          <w:ilvl w:val="0"/>
          <w:numId w:val="16"/>
        </w:numPr>
      </w:pPr>
      <w:r>
        <w:t>Om f</w:t>
      </w:r>
      <w:r w:rsidR="00D81AEC">
        <w:t>örkvalificeringen a</w:t>
      </w:r>
      <w:r w:rsidR="00D81AEC" w:rsidRPr="00BD313E">
        <w:t xml:space="preserve">vser ett kapacitetsintervall </w:t>
      </w:r>
      <w:r>
        <w:t xml:space="preserve">ska två test </w:t>
      </w:r>
      <w:r w:rsidR="00D81AEC" w:rsidRPr="00BD313E">
        <w:t>utföras, ett för den maximala och ett för den minimala kapaciteten</w:t>
      </w:r>
      <w:r w:rsidR="00D81AEC">
        <w:t xml:space="preserve">. Följ anvisningarna i punkt </w:t>
      </w:r>
      <w:proofErr w:type="gramStart"/>
      <w:r w:rsidR="00D81AEC">
        <w:t>1-5</w:t>
      </w:r>
      <w:proofErr w:type="gramEnd"/>
      <w:r w:rsidR="00D81AEC">
        <w:t xml:space="preserve"> för test av både maximal och minimal kapacitet. </w:t>
      </w:r>
      <w:r w:rsidR="002C4596">
        <w:t>Minsta kapacitet att ansöka om är 1,0 MW.</w:t>
      </w:r>
      <w:r w:rsidR="0024036C">
        <w:t xml:space="preserve"> </w:t>
      </w:r>
    </w:p>
    <w:p w14:paraId="56B8FE8A" w14:textId="77777777" w:rsidR="004F2917" w:rsidRPr="0024036C" w:rsidRDefault="004F2917" w:rsidP="004F2917">
      <w:pPr>
        <w:pStyle w:val="Brdtext"/>
        <w:ind w:left="720"/>
      </w:pPr>
    </w:p>
    <w:p w14:paraId="0F86A9DC" w14:textId="5280C6C4" w:rsidR="00102292" w:rsidRPr="00077E01" w:rsidRDefault="00102292" w:rsidP="00D36B5B">
      <w:pPr>
        <w:pStyle w:val="Rubrik2"/>
        <w:numPr>
          <w:ilvl w:val="1"/>
          <w:numId w:val="25"/>
        </w:numPr>
      </w:pPr>
      <w:r>
        <w:t>Nedregleringstest</w:t>
      </w:r>
      <w:r w:rsidRPr="00077E01" w:rsidDel="00373F9E">
        <w:t xml:space="preserve"> </w:t>
      </w:r>
    </w:p>
    <w:p w14:paraId="3C2F1CE9" w14:textId="77777777" w:rsidR="00102292" w:rsidRPr="00411D96" w:rsidRDefault="00102292" w:rsidP="0065655C">
      <w:pPr>
        <w:pStyle w:val="Numreradlista"/>
        <w:numPr>
          <w:ilvl w:val="0"/>
          <w:numId w:val="0"/>
        </w:numPr>
        <w:rPr>
          <w:rFonts w:asciiTheme="minorHAnsi" w:hAnsiTheme="minorHAnsi"/>
        </w:rPr>
      </w:pPr>
      <w:r w:rsidRPr="00411D96">
        <w:rPr>
          <w:rFonts w:asciiTheme="minorHAnsi" w:hAnsiTheme="minorHAnsi"/>
        </w:rPr>
        <w:t xml:space="preserve">Om ansökan avser </w:t>
      </w:r>
      <w:proofErr w:type="spellStart"/>
      <w:r w:rsidRPr="00411D96">
        <w:rPr>
          <w:rFonts w:asciiTheme="minorHAnsi" w:hAnsiTheme="minorHAnsi"/>
        </w:rPr>
        <w:t>mFRR</w:t>
      </w:r>
      <w:proofErr w:type="spellEnd"/>
      <w:r w:rsidRPr="00411D96">
        <w:rPr>
          <w:rFonts w:asciiTheme="minorHAnsi" w:hAnsiTheme="minorHAnsi"/>
        </w:rPr>
        <w:t xml:space="preserve"> nedreglering ska nedregleringstest utföras för enheten eller gruppen. Om ansökan enbart avser </w:t>
      </w:r>
      <w:proofErr w:type="spellStart"/>
      <w:r w:rsidRPr="00411D96">
        <w:rPr>
          <w:rFonts w:asciiTheme="minorHAnsi" w:hAnsiTheme="minorHAnsi"/>
        </w:rPr>
        <w:t>mFRR</w:t>
      </w:r>
      <w:proofErr w:type="spellEnd"/>
      <w:r w:rsidRPr="00411D96">
        <w:rPr>
          <w:rFonts w:asciiTheme="minorHAnsi" w:hAnsiTheme="minorHAnsi"/>
        </w:rPr>
        <w:t xml:space="preserve"> uppreglering ska detta test inte utföras.</w:t>
      </w:r>
    </w:p>
    <w:p w14:paraId="7674F520" w14:textId="6C51C9EF" w:rsidR="00102292" w:rsidRPr="00411D96" w:rsidRDefault="00102292" w:rsidP="00102292">
      <w:pPr>
        <w:pStyle w:val="Numreradlista"/>
        <w:numPr>
          <w:ilvl w:val="0"/>
          <w:numId w:val="17"/>
        </w:numPr>
        <w:tabs>
          <w:tab w:val="left" w:pos="426"/>
        </w:tabs>
        <w:rPr>
          <w:rFonts w:asciiTheme="minorHAnsi" w:hAnsiTheme="minorHAnsi"/>
        </w:rPr>
      </w:pPr>
      <w:r w:rsidRPr="00411D96">
        <w:rPr>
          <w:rFonts w:asciiTheme="minorHAnsi" w:hAnsiTheme="minorHAnsi"/>
        </w:rPr>
        <w:t xml:space="preserve">Utför aktiveringssekvens för </w:t>
      </w:r>
      <w:proofErr w:type="spellStart"/>
      <w:r w:rsidRPr="00411D96">
        <w:rPr>
          <w:rFonts w:asciiTheme="minorHAnsi" w:hAnsiTheme="minorHAnsi"/>
        </w:rPr>
        <w:t>mFRR</w:t>
      </w:r>
      <w:proofErr w:type="spellEnd"/>
      <w:r w:rsidRPr="00411D96">
        <w:rPr>
          <w:rFonts w:asciiTheme="minorHAnsi" w:hAnsiTheme="minorHAnsi"/>
        </w:rPr>
        <w:t xml:space="preserve"> nedreglering enligt Figur </w:t>
      </w:r>
      <w:r w:rsidR="00985CAB" w:rsidRPr="00411D96">
        <w:rPr>
          <w:rFonts w:asciiTheme="minorHAnsi" w:hAnsiTheme="minorHAnsi"/>
        </w:rPr>
        <w:t>2</w:t>
      </w:r>
      <w:r w:rsidRPr="00411D96">
        <w:rPr>
          <w:rFonts w:asciiTheme="minorHAnsi" w:hAnsiTheme="minorHAnsi"/>
        </w:rPr>
        <w:t xml:space="preserve">. </w:t>
      </w:r>
    </w:p>
    <w:p w14:paraId="7FECCEB2" w14:textId="77777777" w:rsidR="00102292" w:rsidRPr="00077E01" w:rsidRDefault="00EE5A53" w:rsidP="00102292">
      <w:pPr>
        <w:pStyle w:val="Brdtext"/>
        <w:ind w:left="720"/>
        <w:jc w:val="center"/>
        <w:rPr>
          <w:noProof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 xml:space="preserve">0 </m:t>
            </m:r>
          </m:sub>
        </m:sSub>
      </m:oMath>
      <w:r w:rsidR="00102292" w:rsidRPr="00077E01">
        <w:t xml:space="preserve"> </w:t>
      </w:r>
      <w:r w:rsidR="00102292" w:rsidRPr="00077E01">
        <w:sym w:font="Wingdings" w:char="F0E0"/>
      </w:r>
      <w:r w:rsidR="00102292" w:rsidRPr="00077E01">
        <w:t xml:space="preserve"> 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Ned</m:t>
            </m:r>
          </m:sub>
        </m:sSub>
      </m:oMath>
      <w:r w:rsidR="00102292" w:rsidRPr="00077E01">
        <w:t xml:space="preserve">  </w:t>
      </w:r>
      <w:r w:rsidR="00102292" w:rsidRPr="00077E01">
        <w:sym w:font="Wingdings" w:char="F0E0"/>
      </w:r>
      <w:r w:rsidR="00102292" w:rsidRPr="00077E01">
        <w:t xml:space="preserve"> 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 w:rsidR="00102292" w:rsidRPr="00077E01">
        <w:t xml:space="preserve"> </w:t>
      </w:r>
    </w:p>
    <w:p w14:paraId="3AC28F74" w14:textId="77777777" w:rsidR="00102292" w:rsidRDefault="00102292" w:rsidP="00102292">
      <w:pPr>
        <w:pStyle w:val="Liststycke"/>
        <w:suppressAutoHyphens/>
        <w:rPr>
          <w:noProof/>
        </w:rPr>
      </w:pPr>
    </w:p>
    <w:p w14:paraId="55063AAB" w14:textId="77777777" w:rsidR="00102292" w:rsidRDefault="00102292" w:rsidP="00102292">
      <w:pPr>
        <w:pStyle w:val="Liststycke"/>
        <w:suppressAutoHyphens/>
        <w:jc w:val="center"/>
        <w:rPr>
          <w:noProof/>
        </w:rPr>
      </w:pPr>
      <w:r w:rsidRPr="00022907">
        <w:rPr>
          <w:noProof/>
        </w:rPr>
        <w:drawing>
          <wp:inline distT="0" distB="0" distL="0" distR="0" wp14:anchorId="1A924AE0" wp14:editId="794F395B">
            <wp:extent cx="2870421" cy="1335405"/>
            <wp:effectExtent l="0" t="0" r="0" b="0"/>
            <wp:docPr id="8" name="Bildobjekt 8" descr="G:\Division System\Kraftsystem\SKU\Förkvalificering\Mallar\FRR\Illustrationer\Ned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Division System\Kraftsystem\SKU\Förkvalificering\Mallar\FRR\Illustrationer\Ned.emf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365" t="36654" r="2270" b="15972"/>
                    <a:stretch/>
                  </pic:blipFill>
                  <pic:spPr bwMode="auto">
                    <a:xfrm>
                      <a:off x="0" y="0"/>
                      <a:ext cx="2871863" cy="1336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B0590AE" w14:textId="77777777" w:rsidR="00102292" w:rsidRDefault="00102292" w:rsidP="00102292">
      <w:pPr>
        <w:pStyle w:val="Liststycke"/>
        <w:suppressAutoHyphens/>
        <w:rPr>
          <w:noProof/>
        </w:rPr>
      </w:pPr>
    </w:p>
    <w:p w14:paraId="4F8C45E4" w14:textId="082064B1" w:rsidR="00102292" w:rsidRPr="00411D96" w:rsidRDefault="00102292" w:rsidP="00102292">
      <w:pPr>
        <w:pStyle w:val="Liststycke"/>
        <w:suppressAutoHyphens/>
        <w:rPr>
          <w:rFonts w:asciiTheme="minorHAnsi" w:hAnsiTheme="minorHAnsi"/>
          <w:sz w:val="16"/>
          <w:szCs w:val="16"/>
        </w:rPr>
      </w:pPr>
      <w:r w:rsidRPr="00411D96">
        <w:rPr>
          <w:rFonts w:asciiTheme="minorHAnsi" w:hAnsiTheme="minorHAnsi"/>
          <w:sz w:val="16"/>
          <w:szCs w:val="16"/>
        </w:rPr>
        <w:t xml:space="preserve">Figur 2. Aktiveringssekvens för </w:t>
      </w:r>
      <w:proofErr w:type="spellStart"/>
      <w:r w:rsidRPr="00411D96">
        <w:rPr>
          <w:rFonts w:asciiTheme="minorHAnsi" w:hAnsiTheme="minorHAnsi"/>
          <w:sz w:val="16"/>
          <w:szCs w:val="16"/>
        </w:rPr>
        <w:t>mFRR</w:t>
      </w:r>
      <w:proofErr w:type="spellEnd"/>
      <w:r w:rsidRPr="00411D96">
        <w:rPr>
          <w:rFonts w:asciiTheme="minorHAnsi" w:hAnsiTheme="minorHAnsi"/>
          <w:sz w:val="16"/>
          <w:szCs w:val="16"/>
        </w:rPr>
        <w:t xml:space="preserve">, där </w:t>
      </w:r>
      <m:oMath>
        <m:r>
          <m:rPr>
            <m:sty m:val="p"/>
          </m:rPr>
          <w:rPr>
            <w:rFonts w:ascii="Cambria Math" w:hAnsi="Cambria Math"/>
            <w:sz w:val="16"/>
            <w:szCs w:val="16"/>
          </w:rPr>
          <m:t>∆</m:t>
        </m:r>
        <m:r>
          <w:rPr>
            <w:rFonts w:ascii="Cambria Math" w:hAnsi="Cambria Math"/>
            <w:sz w:val="16"/>
            <w:szCs w:val="16"/>
          </w:rPr>
          <m:t>T</m:t>
        </m:r>
        <m:r>
          <m:rPr>
            <m:sty m:val="p"/>
          </m:rPr>
          <w:rPr>
            <w:rFonts w:ascii="Cambria Math" w:hAnsi="Cambria Math"/>
            <w:sz w:val="16"/>
            <w:szCs w:val="16"/>
          </w:rPr>
          <m:t xml:space="preserve"> </m:t>
        </m:r>
      </m:oMath>
      <w:r w:rsidRPr="00411D96">
        <w:rPr>
          <w:rFonts w:asciiTheme="minorHAnsi" w:hAnsiTheme="minorHAnsi"/>
          <w:sz w:val="16"/>
          <w:szCs w:val="16"/>
        </w:rPr>
        <w:t xml:space="preserve">är mindre än eller lika med angiven aktiveringstid. Siffrorna motsvarar de steg som utförs i aktiveringssekvensen för mFRR nedreglering. </w:t>
      </w:r>
    </w:p>
    <w:p w14:paraId="53621E35" w14:textId="14476D4D" w:rsidR="00102292" w:rsidRPr="00411D96" w:rsidRDefault="00102292" w:rsidP="00102292">
      <w:pPr>
        <w:pStyle w:val="Beskrivning"/>
        <w:keepNext/>
        <w:ind w:left="709"/>
        <w:rPr>
          <w:rFonts w:asciiTheme="minorHAnsi" w:hAnsiTheme="minorHAnsi"/>
        </w:rPr>
      </w:pPr>
      <w:r w:rsidRPr="00411D96">
        <w:rPr>
          <w:rFonts w:asciiTheme="minorHAnsi" w:hAnsiTheme="minorHAnsi"/>
        </w:rPr>
        <w:lastRenderedPageBreak/>
        <w:t xml:space="preserve">Tabell </w:t>
      </w:r>
      <w:r w:rsidR="00FF1395">
        <w:rPr>
          <w:rFonts w:asciiTheme="minorHAnsi" w:hAnsiTheme="minorHAnsi"/>
        </w:rPr>
        <w:t>5</w:t>
      </w:r>
      <w:r w:rsidRPr="00411D96">
        <w:rPr>
          <w:rFonts w:asciiTheme="minorHAnsi" w:hAnsiTheme="minorHAnsi"/>
        </w:rPr>
        <w:t>. Definition av beteckningar i Figur 2.</w:t>
      </w:r>
    </w:p>
    <w:tbl>
      <w:tblPr>
        <w:tblStyle w:val="SvKTabellformat"/>
        <w:tblW w:w="6662" w:type="dxa"/>
        <w:tblInd w:w="649" w:type="dxa"/>
        <w:tblLook w:val="0480" w:firstRow="0" w:lastRow="0" w:firstColumn="1" w:lastColumn="0" w:noHBand="0" w:noVBand="1"/>
      </w:tblPr>
      <w:tblGrid>
        <w:gridCol w:w="992"/>
        <w:gridCol w:w="284"/>
        <w:gridCol w:w="5386"/>
      </w:tblGrid>
      <w:tr w:rsidR="00102292" w:rsidRPr="00077E01" w14:paraId="6FF1F721" w14:textId="77777777" w:rsidTr="00D204CA">
        <w:trPr>
          <w:trHeight w:val="354"/>
        </w:trPr>
        <w:tc>
          <w:tcPr>
            <w:tcW w:w="992" w:type="dxa"/>
            <w:vAlign w:val="center"/>
          </w:tcPr>
          <w:p w14:paraId="762DC40C" w14:textId="57FAEA5B" w:rsidR="00102292" w:rsidRPr="00077E01" w:rsidRDefault="00EE5A53" w:rsidP="00D204CA">
            <w:pPr>
              <w:pStyle w:val="Tabelltext"/>
              <w:keepNext/>
              <w:ind w:hanging="363"/>
              <w:rPr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Ned</m:t>
                    </m:r>
                  </m:sub>
                </m:sSub>
                <m:r>
                  <w:rPr>
                    <w:rStyle w:val="Fotnotsreferens"/>
                    <w:rFonts w:ascii="Cambria Math" w:hAnsi="Cambria Math"/>
                    <w:i/>
                    <w:sz w:val="20"/>
                    <w:szCs w:val="20"/>
                  </w:rPr>
                  <w:footnoteReference w:id="5"/>
                </m:r>
              </m:oMath>
            </m:oMathPara>
          </w:p>
        </w:tc>
        <w:tc>
          <w:tcPr>
            <w:tcW w:w="5670" w:type="dxa"/>
            <w:gridSpan w:val="2"/>
          </w:tcPr>
          <w:p w14:paraId="54C6F6AC" w14:textId="77777777" w:rsidR="00102292" w:rsidRPr="00077E01" w:rsidRDefault="00102292" w:rsidP="00D204CA">
            <w:pPr>
              <w:pStyle w:val="Tabelltext"/>
              <w:keepNext/>
              <w:ind w:left="72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Börvärde</w:t>
            </w:r>
            <w:proofErr w:type="spellEnd"/>
            <w:r>
              <w:rPr>
                <w:sz w:val="20"/>
                <w:szCs w:val="20"/>
              </w:rPr>
              <w:t xml:space="preserve"> aktiv effekt efter maximal aktivering av </w:t>
            </w:r>
            <w:proofErr w:type="spellStart"/>
            <w:r>
              <w:rPr>
                <w:sz w:val="20"/>
                <w:szCs w:val="20"/>
              </w:rPr>
              <w:t>mFRR</w:t>
            </w:r>
            <w:proofErr w:type="spellEnd"/>
            <w:r>
              <w:rPr>
                <w:sz w:val="20"/>
                <w:szCs w:val="20"/>
              </w:rPr>
              <w:t xml:space="preserve"> nedreglering.</w:t>
            </w:r>
          </w:p>
        </w:tc>
      </w:tr>
      <w:tr w:rsidR="00102292" w:rsidRPr="00077E01" w14:paraId="5A68B77F" w14:textId="77777777" w:rsidTr="00D204CA">
        <w:trPr>
          <w:trHeight w:val="352"/>
        </w:trPr>
        <w:tc>
          <w:tcPr>
            <w:tcW w:w="992" w:type="dxa"/>
            <w:vAlign w:val="center"/>
          </w:tcPr>
          <w:p w14:paraId="30A2943E" w14:textId="77777777" w:rsidR="00102292" w:rsidRPr="00D204CA" w:rsidRDefault="00EE5A53" w:rsidP="00D204CA">
            <w:pPr>
              <w:pStyle w:val="Tabelltext"/>
              <w:keepNext/>
              <w:ind w:hanging="363"/>
              <w:rPr>
                <w:sz w:val="20"/>
                <w:szCs w:val="20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0</m:t>
                    </m:r>
                  </m:sub>
                </m:sSub>
              </m:oMath>
            </m:oMathPara>
          </w:p>
        </w:tc>
        <w:tc>
          <w:tcPr>
            <w:tcW w:w="5670" w:type="dxa"/>
            <w:gridSpan w:val="2"/>
          </w:tcPr>
          <w:p w14:paraId="681DCDB0" w14:textId="77777777" w:rsidR="00102292" w:rsidRPr="00077E01" w:rsidRDefault="00102292" w:rsidP="00D204CA">
            <w:pPr>
              <w:pStyle w:val="Tabelltext"/>
              <w:keepNext/>
              <w:ind w:left="72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Börvärde</w:t>
            </w:r>
            <w:proofErr w:type="spellEnd"/>
            <w:r>
              <w:rPr>
                <w:sz w:val="20"/>
                <w:szCs w:val="20"/>
              </w:rPr>
              <w:t xml:space="preserve"> aktiv effekt innan aktivering av </w:t>
            </w:r>
            <w:r>
              <w:rPr>
                <w:sz w:val="20"/>
                <w:szCs w:val="20"/>
              </w:rPr>
              <w:br/>
            </w:r>
            <w:proofErr w:type="spellStart"/>
            <w:r>
              <w:rPr>
                <w:sz w:val="20"/>
                <w:szCs w:val="20"/>
              </w:rPr>
              <w:t>mFRR</w:t>
            </w:r>
            <w:proofErr w:type="spellEnd"/>
            <w:r>
              <w:rPr>
                <w:sz w:val="20"/>
                <w:szCs w:val="20"/>
              </w:rPr>
              <w:t xml:space="preserve"> nedreglering.</w:t>
            </w:r>
          </w:p>
        </w:tc>
      </w:tr>
      <w:tr w:rsidR="00102292" w:rsidRPr="00077E01" w14:paraId="63B0EE42" w14:textId="77777777" w:rsidTr="00D204CA">
        <w:trPr>
          <w:trHeight w:val="354"/>
        </w:trPr>
        <w:tc>
          <w:tcPr>
            <w:tcW w:w="992" w:type="dxa"/>
            <w:vAlign w:val="center"/>
          </w:tcPr>
          <w:p w14:paraId="7E5465D0" w14:textId="77777777" w:rsidR="00102292" w:rsidRPr="00077E01" w:rsidRDefault="00102292" w:rsidP="00D204CA">
            <w:pPr>
              <w:pStyle w:val="Tabelltext"/>
              <w:keepNext/>
              <w:ind w:hanging="363"/>
              <w:rPr>
                <w:sz w:val="20"/>
                <w:szCs w:val="20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</w:rPr>
                  <m:t>∆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Ned</m:t>
                    </m:r>
                  </m:sub>
                </m:sSub>
              </m:oMath>
            </m:oMathPara>
          </w:p>
        </w:tc>
        <w:tc>
          <w:tcPr>
            <w:tcW w:w="5670" w:type="dxa"/>
            <w:gridSpan w:val="2"/>
          </w:tcPr>
          <w:p w14:paraId="06D2E53C" w14:textId="00EEFAAE" w:rsidR="00102292" w:rsidRPr="00077E01" w:rsidRDefault="00102292" w:rsidP="005D314A">
            <w:pPr>
              <w:pStyle w:val="Tabelltext"/>
              <w:keepNext/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Den tid som åtgår från det att </w:t>
            </w:r>
            <w:proofErr w:type="gramStart"/>
            <w:r>
              <w:rPr>
                <w:sz w:val="20"/>
                <w:szCs w:val="20"/>
              </w:rPr>
              <w:t>Svenska</w:t>
            </w:r>
            <w:proofErr w:type="gramEnd"/>
            <w:r>
              <w:rPr>
                <w:sz w:val="20"/>
                <w:szCs w:val="20"/>
              </w:rPr>
              <w:t xml:space="preserve"> kraftnät </w:t>
            </w:r>
            <w:r>
              <w:rPr>
                <w:sz w:val="20"/>
                <w:szCs w:val="20"/>
              </w:rPr>
              <w:br/>
              <w:t xml:space="preserve">beordrar aktivering av enheten eller gruppen till det att </w:t>
            </w:r>
            <w:r w:rsidRPr="00077E01">
              <w:rPr>
                <w:sz w:val="20"/>
                <w:szCs w:val="20"/>
              </w:rPr>
              <w:t>aktiv effekt</w:t>
            </w:r>
            <w:r>
              <w:rPr>
                <w:sz w:val="20"/>
                <w:szCs w:val="20"/>
              </w:rPr>
              <w:t xml:space="preserve"> har </w:t>
            </w:r>
            <w:r w:rsidR="005D314A">
              <w:rPr>
                <w:sz w:val="20"/>
                <w:szCs w:val="20"/>
              </w:rPr>
              <w:t>ändrats</w:t>
            </w:r>
            <w:r w:rsidR="005D314A" w:rsidRPr="00077E01">
              <w:rPr>
                <w:sz w:val="20"/>
                <w:szCs w:val="20"/>
              </w:rPr>
              <w:t xml:space="preserve"> </w:t>
            </w:r>
            <w:r w:rsidRPr="00077E01">
              <w:rPr>
                <w:sz w:val="20"/>
                <w:szCs w:val="20"/>
              </w:rPr>
              <w:t xml:space="preserve">från </w:t>
            </w:r>
            <m:oMath>
              <m:sSub>
                <m:sSubPr>
                  <m:ctrlPr>
                    <w:rPr>
                      <w:rFonts w:ascii="Cambria Math" w:hAnsi="Cambria Math"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</w:rPr>
                    <m:t>0</m:t>
                  </m:r>
                </m:sub>
              </m:sSub>
            </m:oMath>
            <w:r w:rsidRPr="00077E01">
              <w:rPr>
                <w:sz w:val="20"/>
                <w:szCs w:val="20"/>
              </w:rPr>
              <w:t xml:space="preserve"> till </w:t>
            </w:r>
            <m:oMath>
              <m:sSub>
                <m:sSubPr>
                  <m:ctrlPr>
                    <w:rPr>
                      <w:rFonts w:ascii="Cambria Math" w:hAnsi="Cambria Math"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</w:rPr>
                    <m:t>ned</m:t>
                  </m:r>
                </m:sub>
              </m:sSub>
            </m:oMath>
            <w:r>
              <w:rPr>
                <w:sz w:val="20"/>
                <w:szCs w:val="20"/>
              </w:rPr>
              <w:t>.</w:t>
            </w:r>
            <w:r w:rsidRPr="00077E01">
              <w:rPr>
                <w:sz w:val="20"/>
                <w:szCs w:val="20"/>
              </w:rPr>
              <w:t xml:space="preserve"> </w:t>
            </w:r>
          </w:p>
        </w:tc>
      </w:tr>
      <w:tr w:rsidR="00102292" w:rsidRPr="00077E01" w14:paraId="50CC7769" w14:textId="77777777" w:rsidTr="00D204CA">
        <w:trPr>
          <w:trHeight w:val="354"/>
        </w:trPr>
        <w:tc>
          <w:tcPr>
            <w:tcW w:w="992" w:type="dxa"/>
            <w:vAlign w:val="center"/>
          </w:tcPr>
          <w:p w14:paraId="15B1546A" w14:textId="77777777" w:rsidR="00102292" w:rsidRDefault="00102292" w:rsidP="00D204CA">
            <w:pPr>
              <w:pStyle w:val="Tabelltext"/>
              <w:keepNext/>
              <w:ind w:hanging="363"/>
              <w:rPr>
                <w:rFonts w:ascii="Georgia" w:hAnsi="Georgia"/>
                <w:sz w:val="20"/>
                <w:szCs w:val="20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</w:rPr>
                  <m:t>∆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Ned</m:t>
                    </m:r>
                  </m:sub>
                </m:sSub>
              </m:oMath>
            </m:oMathPara>
          </w:p>
        </w:tc>
        <w:tc>
          <w:tcPr>
            <w:tcW w:w="5670" w:type="dxa"/>
            <w:gridSpan w:val="2"/>
          </w:tcPr>
          <w:p w14:paraId="4F001257" w14:textId="77777777" w:rsidR="00102292" w:rsidRDefault="00102292" w:rsidP="00D204CA">
            <w:pPr>
              <w:pStyle w:val="Tabelltext"/>
              <w:keepNext/>
              <w:ind w:left="720"/>
              <w:rPr>
                <w:sz w:val="20"/>
                <w:szCs w:val="20"/>
              </w:rPr>
            </w:pPr>
            <w:r w:rsidRPr="00077E01">
              <w:rPr>
                <w:sz w:val="20"/>
                <w:szCs w:val="20"/>
              </w:rPr>
              <w:t xml:space="preserve">Differensen mellan </w:t>
            </w:r>
            <m:oMath>
              <m:sSub>
                <m:sSubPr>
                  <m:ctrlPr>
                    <w:rPr>
                      <w:rFonts w:ascii="Cambria Math" w:hAnsi="Cambria Math"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</w:rPr>
                    <m:t>0</m:t>
                  </m:r>
                </m:sub>
              </m:sSub>
            </m:oMath>
            <w:r w:rsidRPr="00077E01">
              <w:rPr>
                <w:sz w:val="20"/>
                <w:szCs w:val="20"/>
              </w:rPr>
              <w:t xml:space="preserve"> och </w:t>
            </w:r>
            <m:oMath>
              <m:sSub>
                <m:sSubPr>
                  <m:ctrlPr>
                    <w:rPr>
                      <w:rFonts w:ascii="Cambria Math" w:hAnsi="Cambria Math"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</w:rPr>
                    <m:t>Ned</m:t>
                  </m:r>
                </m:sub>
              </m:sSub>
              <m:r>
                <w:rPr>
                  <w:rFonts w:ascii="Cambria Math" w:hAnsi="Cambria Math"/>
                  <w:sz w:val="20"/>
                  <w:szCs w:val="20"/>
                </w:rPr>
                <m:t>.</m:t>
              </m:r>
            </m:oMath>
            <w:r w:rsidRPr="00077E0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  <w:t>Om</w:t>
            </w:r>
            <w:r w:rsidRPr="00077E0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testet</w:t>
            </w:r>
            <w:r w:rsidRPr="00077E01">
              <w:rPr>
                <w:sz w:val="20"/>
                <w:szCs w:val="20"/>
              </w:rPr>
              <w:t xml:space="preserve"> utförs korrekt är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∆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</w:rPr>
                    <m:t>Ned</m:t>
                  </m:r>
                </m:sub>
              </m:sSub>
            </m:oMath>
            <w:r w:rsidRPr="00077E01">
              <w:rPr>
                <w:sz w:val="20"/>
                <w:szCs w:val="20"/>
              </w:rPr>
              <w:t xml:space="preserve"> = </w:t>
            </w:r>
            <w:r>
              <w:rPr>
                <w:sz w:val="20"/>
                <w:szCs w:val="20"/>
              </w:rPr>
              <w:t>önskad kapacitet.</w:t>
            </w:r>
          </w:p>
        </w:tc>
      </w:tr>
      <w:tr w:rsidR="00102292" w:rsidRPr="00102292" w14:paraId="634819CB" w14:textId="77777777" w:rsidTr="00D204CA">
        <w:trPr>
          <w:trHeight w:val="354"/>
        </w:trPr>
        <w:tc>
          <w:tcPr>
            <w:tcW w:w="1276" w:type="dxa"/>
            <w:gridSpan w:val="2"/>
          </w:tcPr>
          <w:p w14:paraId="4F0DCEE3" w14:textId="77777777" w:rsidR="00102292" w:rsidRPr="00102292" w:rsidRDefault="00102292" w:rsidP="00D204CA">
            <w:pPr>
              <w:pStyle w:val="Tabelltext"/>
              <w:keepNext/>
              <w:ind w:left="720"/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5386" w:type="dxa"/>
            <w:tcBorders>
              <w:top w:val="single" w:sz="4" w:space="0" w:color="auto"/>
              <w:bottom w:val="nil"/>
            </w:tcBorders>
          </w:tcPr>
          <w:p w14:paraId="5FC6A8D7" w14:textId="77777777" w:rsidR="00102292" w:rsidRPr="00102292" w:rsidRDefault="00102292" w:rsidP="00D204CA">
            <w:pPr>
              <w:pStyle w:val="Tabelltext"/>
              <w:keepNext/>
              <w:ind w:left="720"/>
              <w:rPr>
                <w:sz w:val="16"/>
                <w:szCs w:val="16"/>
              </w:rPr>
            </w:pPr>
          </w:p>
        </w:tc>
      </w:tr>
    </w:tbl>
    <w:p w14:paraId="60126AD8" w14:textId="371CC287" w:rsidR="00102292" w:rsidRPr="00411D96" w:rsidRDefault="00102292" w:rsidP="00102292">
      <w:pPr>
        <w:pStyle w:val="Numreradlista"/>
        <w:numPr>
          <w:ilvl w:val="0"/>
          <w:numId w:val="17"/>
        </w:numPr>
        <w:rPr>
          <w:rFonts w:asciiTheme="minorHAnsi" w:hAnsiTheme="minorHAnsi"/>
        </w:rPr>
      </w:pPr>
      <w:r w:rsidRPr="00411D96">
        <w:rPr>
          <w:rFonts w:asciiTheme="minorHAnsi" w:hAnsiTheme="minorHAnsi"/>
        </w:rPr>
        <w:t>Inled med att säkerställa att aktiv effekt är i överensstämmelse med fastställd plan (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 w:rsidRPr="00411D96">
        <w:rPr>
          <w:rFonts w:asciiTheme="minorHAnsi" w:hAnsiTheme="minorHAnsi"/>
        </w:rPr>
        <w:t xml:space="preserve">). I Figur </w:t>
      </w:r>
      <w:r w:rsidR="00985CAB" w:rsidRPr="00411D96">
        <w:rPr>
          <w:rFonts w:asciiTheme="minorHAnsi" w:hAnsiTheme="minorHAnsi"/>
        </w:rPr>
        <w:t>2</w:t>
      </w:r>
      <w:r w:rsidRPr="00411D96">
        <w:rPr>
          <w:rFonts w:asciiTheme="minorHAnsi" w:hAnsiTheme="minorHAnsi"/>
        </w:rPr>
        <w:t xml:space="preserve"> illustreras denna nivå med en svart linje. </w:t>
      </w:r>
    </w:p>
    <w:p w14:paraId="682A3A5E" w14:textId="77777777" w:rsidR="00AA7234" w:rsidRDefault="00102292" w:rsidP="00AA7234">
      <w:pPr>
        <w:pStyle w:val="Numreradlista"/>
        <w:numPr>
          <w:ilvl w:val="0"/>
          <w:numId w:val="17"/>
        </w:numPr>
        <w:ind w:right="-285"/>
        <w:rPr>
          <w:rFonts w:asciiTheme="minorHAnsi" w:hAnsiTheme="minorHAnsi"/>
        </w:rPr>
      </w:pPr>
      <w:r w:rsidRPr="00411D96">
        <w:rPr>
          <w:rFonts w:asciiTheme="minorHAnsi" w:hAnsiTheme="minorHAnsi"/>
        </w:rPr>
        <w:t>Minska därefter aktiv effekt till</w:t>
      </w:r>
      <w:r w:rsidR="00FE6500">
        <w:rPr>
          <w:rFonts w:asciiTheme="minorHAnsi" w:hAnsiTheme="minorHAnsi"/>
        </w:rPr>
        <w:t>s</w:t>
      </w:r>
      <w:r w:rsidRPr="00411D96">
        <w:rPr>
          <w:rFonts w:asciiTheme="minorHAnsi" w:hAnsiTheme="minorHAnsi"/>
        </w:rPr>
        <w:t xml:space="preserve"> den uppnår nivå för avsedd maximal aktivering för </w:t>
      </w:r>
      <w:proofErr w:type="spellStart"/>
      <w:r w:rsidRPr="00411D96">
        <w:rPr>
          <w:rFonts w:asciiTheme="minorHAnsi" w:hAnsiTheme="minorHAnsi"/>
        </w:rPr>
        <w:t>mFRR</w:t>
      </w:r>
      <w:proofErr w:type="spellEnd"/>
      <w:r w:rsidRPr="00411D96">
        <w:rPr>
          <w:rFonts w:asciiTheme="minorHAnsi" w:hAnsiTheme="minorHAnsi"/>
        </w:rPr>
        <w:t xml:space="preserve"> nedreglering (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Ned</m:t>
            </m:r>
          </m:sub>
        </m:sSub>
      </m:oMath>
      <w:r w:rsidRPr="00411D96">
        <w:rPr>
          <w:rFonts w:asciiTheme="minorHAnsi" w:hAnsiTheme="minorHAnsi"/>
        </w:rPr>
        <w:t>). Aktiv effekt ska minskas i enlighet med fastställda tekniska krav för den aktuella enheten eller gruppen. Enheten eller gruppen måste vara helt aktiverad inom den angivna aktiveringstiden, d.v.s. inom det blå området i Figur</w:t>
      </w:r>
      <w:r w:rsidR="00985CAB" w:rsidRPr="00411D96">
        <w:rPr>
          <w:rFonts w:asciiTheme="minorHAnsi" w:hAnsiTheme="minorHAnsi"/>
        </w:rPr>
        <w:t xml:space="preserve"> 2</w:t>
      </w:r>
      <w:r w:rsidRPr="00411D96">
        <w:rPr>
          <w:rFonts w:asciiTheme="minorHAnsi" w:hAnsiTheme="minorHAnsi"/>
        </w:rPr>
        <w:t xml:space="preserve">. Ett exempel på hur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Ned</m:t>
            </m:r>
          </m:sub>
        </m:sSub>
      </m:oMath>
      <w:r w:rsidRPr="00411D96">
        <w:rPr>
          <w:rFonts w:asciiTheme="minorHAnsi" w:hAnsiTheme="minorHAnsi"/>
        </w:rPr>
        <w:t xml:space="preserve"> kan uppnås illustreras genom den röda linjen.</w:t>
      </w:r>
    </w:p>
    <w:p w14:paraId="63F9AF93" w14:textId="05D22A93" w:rsidR="00EB0A7B" w:rsidRPr="00EB0A7B" w:rsidRDefault="00102292" w:rsidP="00EB0A7B">
      <w:pPr>
        <w:pStyle w:val="Numreradlista"/>
        <w:numPr>
          <w:ilvl w:val="0"/>
          <w:numId w:val="17"/>
        </w:numPr>
        <w:ind w:right="-285"/>
        <w:rPr>
          <w:rFonts w:asciiTheme="minorHAnsi" w:hAnsiTheme="minorHAnsi"/>
        </w:rPr>
      </w:pPr>
      <w:r w:rsidRPr="00AA7234">
        <w:rPr>
          <w:rFonts w:asciiTheme="minorHAnsi" w:hAnsiTheme="minorHAnsi"/>
        </w:rPr>
        <w:t xml:space="preserve">När nivå för maximal aktivering av </w:t>
      </w:r>
      <w:proofErr w:type="spellStart"/>
      <w:r w:rsidRPr="00AA7234">
        <w:rPr>
          <w:rFonts w:asciiTheme="minorHAnsi" w:hAnsiTheme="minorHAnsi"/>
        </w:rPr>
        <w:t>mFRR</w:t>
      </w:r>
      <w:proofErr w:type="spellEnd"/>
      <w:r w:rsidRPr="00AA7234">
        <w:rPr>
          <w:rFonts w:asciiTheme="minorHAnsi" w:hAnsiTheme="minorHAnsi"/>
        </w:rPr>
        <w:t xml:space="preserve"> nedreglering (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Ned</m:t>
            </m:r>
          </m:sub>
        </m:sSub>
      </m:oMath>
      <w:r w:rsidRPr="00AA7234">
        <w:rPr>
          <w:rFonts w:asciiTheme="minorHAnsi" w:hAnsiTheme="minorHAnsi"/>
        </w:rPr>
        <w:t xml:space="preserve">) har uppnåtts, </w:t>
      </w:r>
      <w:r w:rsidR="00EB0A7B" w:rsidRPr="00EB0A7B">
        <w:rPr>
          <w:rFonts w:asciiTheme="minorHAnsi" w:hAnsiTheme="minorHAnsi"/>
        </w:rPr>
        <w:t xml:space="preserve">ska denna nivå bibehållas i 15 minuter och om leverantören planerar att delta med direktaktiveringar ska uthållighetstestet istället genomföras i minst 30 min för att testa uthålligheten. </w:t>
      </w:r>
      <w:r w:rsidR="00964C33">
        <w:rPr>
          <w:rFonts w:asciiTheme="minorHAnsi" w:hAnsiTheme="minorHAnsi"/>
        </w:rPr>
        <w:t xml:space="preserve">Om ett kapacitetsintervall används behöver dock </w:t>
      </w:r>
      <w:r w:rsidR="00964C33">
        <w:t>u</w:t>
      </w:r>
      <w:r w:rsidR="00EB0A7B">
        <w:t xml:space="preserve">thålligheten endast testas för den kapacitet då uthållighetskravet är svårast att uppfylla, vilket normalt är den maximala kapaciteten. </w:t>
      </w:r>
    </w:p>
    <w:p w14:paraId="0AA02C89" w14:textId="51A6425F" w:rsidR="00247C2F" w:rsidRDefault="00102292" w:rsidP="00676EBE">
      <w:pPr>
        <w:pStyle w:val="Brdtext"/>
        <w:numPr>
          <w:ilvl w:val="0"/>
          <w:numId w:val="17"/>
        </w:numPr>
        <w:rPr>
          <w:rFonts w:asciiTheme="minorHAnsi" w:hAnsiTheme="minorHAnsi"/>
        </w:rPr>
      </w:pPr>
      <w:r w:rsidRPr="00411D96">
        <w:rPr>
          <w:rFonts w:asciiTheme="minorHAnsi" w:hAnsiTheme="minorHAnsi"/>
        </w:rPr>
        <w:t xml:space="preserve">Aktiv effekt återställs slutligen från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Ned</m:t>
            </m:r>
          </m:sub>
        </m:sSub>
      </m:oMath>
      <w:r w:rsidRPr="00411D96">
        <w:rPr>
          <w:rFonts w:asciiTheme="minorHAnsi" w:hAnsiTheme="minorHAnsi"/>
        </w:rPr>
        <w:t xml:space="preserve"> till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 w:rsidRPr="00411D96">
        <w:rPr>
          <w:rFonts w:asciiTheme="minorHAnsi" w:hAnsiTheme="minorHAnsi"/>
        </w:rPr>
        <w:t>.</w:t>
      </w:r>
    </w:p>
    <w:p w14:paraId="15A55A86" w14:textId="7B739C76" w:rsidR="000A40B6" w:rsidRDefault="003674E8" w:rsidP="00096D44">
      <w:pPr>
        <w:pStyle w:val="Brdtext"/>
        <w:numPr>
          <w:ilvl w:val="0"/>
          <w:numId w:val="17"/>
        </w:numPr>
        <w:rPr>
          <w:rFonts w:asciiTheme="minorHAnsi" w:hAnsiTheme="minorHAnsi"/>
        </w:rPr>
      </w:pPr>
      <w:r>
        <w:t>Om f</w:t>
      </w:r>
      <w:r w:rsidR="000A40B6">
        <w:t>örkvalificeringen a</w:t>
      </w:r>
      <w:r>
        <w:t>vser ett kapacitetsintervall</w:t>
      </w:r>
      <w:r w:rsidR="000A40B6">
        <w:t xml:space="preserve"> </w:t>
      </w:r>
      <w:r w:rsidR="000A40B6" w:rsidRPr="00BD313E">
        <w:t>ska två test utföras, ett för den maximala och ett för den minimala kapaciteten</w:t>
      </w:r>
      <w:r w:rsidR="000A40B6">
        <w:t xml:space="preserve">. Följ anvisningarna i punkt </w:t>
      </w:r>
      <w:proofErr w:type="gramStart"/>
      <w:r w:rsidR="000A40B6">
        <w:t>1-5</w:t>
      </w:r>
      <w:proofErr w:type="gramEnd"/>
      <w:r w:rsidR="000A40B6">
        <w:t xml:space="preserve"> för test av både maximal och minimal kapacitet. </w:t>
      </w:r>
      <w:r w:rsidR="003576E2">
        <w:t xml:space="preserve">Minsta kapacitet att ansöka om är 1,0 MW. </w:t>
      </w:r>
    </w:p>
    <w:p w14:paraId="07B0EEC1" w14:textId="77777777" w:rsidR="00096D44" w:rsidRPr="00096D44" w:rsidRDefault="00096D44" w:rsidP="00D36B5B">
      <w:pPr>
        <w:pStyle w:val="Rubrik2"/>
        <w:numPr>
          <w:ilvl w:val="1"/>
          <w:numId w:val="25"/>
        </w:numPr>
        <w:ind w:left="737"/>
      </w:pPr>
      <w:r w:rsidRPr="00096D44">
        <w:t>Utvärdering av prognoserad budkapacitet och referenseffekt</w:t>
      </w:r>
    </w:p>
    <w:p w14:paraId="29C409FA" w14:textId="444B1B51" w:rsidR="00096D44" w:rsidRPr="00680778" w:rsidRDefault="00096D44" w:rsidP="00096D44">
      <w:pPr>
        <w:pStyle w:val="Brdtext"/>
        <w:rPr>
          <w:i/>
        </w:rPr>
      </w:pPr>
      <w:r w:rsidRPr="00680778">
        <w:t xml:space="preserve">Om effekten från enheten eller gruppen varierar beroende på omgivningsförhållanden, ska minst 2 månaders </w:t>
      </w:r>
      <w:proofErr w:type="gramStart"/>
      <w:r w:rsidRPr="00680778">
        <w:t>loggad data</w:t>
      </w:r>
      <w:proofErr w:type="gramEnd"/>
      <w:r w:rsidR="004F2917">
        <w:t xml:space="preserve"> </w:t>
      </w:r>
      <w:r w:rsidRPr="00680778">
        <w:t>(</w:t>
      </w:r>
      <w:r w:rsidRPr="00680778">
        <w:rPr>
          <w:i/>
        </w:rPr>
        <w:t>Rapportering av mätvärden för enheter och grupper med variabel produktion och förbrukning),</w:t>
      </w:r>
      <w:r w:rsidRPr="00680778">
        <w:t xml:space="preserve"> bifogas i ansökan. </w:t>
      </w:r>
      <w:proofErr w:type="gramStart"/>
      <w:r w:rsidRPr="00680778">
        <w:t>Insamlad data</w:t>
      </w:r>
      <w:proofErr w:type="gramEnd"/>
      <w:r w:rsidRPr="00680778">
        <w:t xml:space="preserve"> måste innehålla minst 150 timmar bud. Data som ska loggas och skickas in ska följa angivet format enligt </w:t>
      </w:r>
      <w:r w:rsidRPr="00680778">
        <w:rPr>
          <w:i/>
        </w:rPr>
        <w:t>Rapportering av mätvärden för enheter och grupper med variabel produktion och förbrukning.</w:t>
      </w:r>
    </w:p>
    <w:p w14:paraId="48A1B65D" w14:textId="1DAB1E0B" w:rsidR="00C44D73" w:rsidRPr="00680778" w:rsidRDefault="00096D44" w:rsidP="0055758B">
      <w:pPr>
        <w:pStyle w:val="Brdtext"/>
      </w:pPr>
      <w:r w:rsidRPr="00680778">
        <w:rPr>
          <w:i/>
        </w:rPr>
        <w:lastRenderedPageBreak/>
        <w:t xml:space="preserve">Observera att, </w:t>
      </w:r>
      <w:r w:rsidRPr="00680778">
        <w:t>beroende av noggrannheten på referensvärdet så kan minkapaciteten komma att justeras vid utvärdering av förkvalificeringsansökan</w:t>
      </w:r>
      <w:r w:rsidR="00680778" w:rsidRPr="00680778">
        <w:t>.</w:t>
      </w:r>
    </w:p>
    <w:p w14:paraId="5EB972E9" w14:textId="531F22E2" w:rsidR="00015E2D" w:rsidRDefault="0055758B" w:rsidP="00D36B5B">
      <w:pPr>
        <w:pStyle w:val="Rubrik1"/>
        <w:numPr>
          <w:ilvl w:val="0"/>
          <w:numId w:val="25"/>
        </w:numPr>
      </w:pPr>
      <w:r>
        <w:t>Format</w:t>
      </w:r>
      <w:r w:rsidR="00D36B5B">
        <w:t xml:space="preserve"> för dataloggning</w:t>
      </w:r>
    </w:p>
    <w:p w14:paraId="4CBB1620" w14:textId="2B66E8F1" w:rsidR="00015E2D" w:rsidRDefault="00015E2D" w:rsidP="00015E2D">
      <w:pPr>
        <w:pStyle w:val="Brdtext"/>
      </w:pPr>
      <w:r>
        <w:t xml:space="preserve">För att </w:t>
      </w:r>
      <w:proofErr w:type="gramStart"/>
      <w:r>
        <w:t>Svenska</w:t>
      </w:r>
      <w:proofErr w:type="gramEnd"/>
      <w:r>
        <w:t xml:space="preserve"> kraftnät så smidigt och objektivt som möjligt ska kunna granska inskickad data är processen för detta delvis automatiserad. Formatering och filnamn ska därför </w:t>
      </w:r>
      <w:bookmarkStart w:id="0" w:name="_Hlk191571491"/>
      <w:r>
        <w:t xml:space="preserve">följa specifikationerna </w:t>
      </w:r>
      <w:r w:rsidR="00176A14" w:rsidRPr="00176A14">
        <w:rPr>
          <w:i/>
          <w:iCs/>
        </w:rPr>
        <w:t xml:space="preserve">Tekniska villkor för förkvalificering och leverans av </w:t>
      </w:r>
      <w:proofErr w:type="spellStart"/>
      <w:r w:rsidR="00176A14" w:rsidRPr="00176A14">
        <w:rPr>
          <w:i/>
          <w:iCs/>
        </w:rPr>
        <w:t>mFRR</w:t>
      </w:r>
      <w:proofErr w:type="spellEnd"/>
      <w:r w:rsidR="00176A14">
        <w:t xml:space="preserve"> och </w:t>
      </w:r>
      <w:r w:rsidR="00176A14" w:rsidRPr="00176A14">
        <w:rPr>
          <w:i/>
          <w:iCs/>
        </w:rPr>
        <w:t xml:space="preserve">Rapportering av data </w:t>
      </w:r>
      <w:proofErr w:type="spellStart"/>
      <w:r w:rsidR="00176A14" w:rsidRPr="00176A14">
        <w:rPr>
          <w:i/>
          <w:iCs/>
        </w:rPr>
        <w:t>mFRR</w:t>
      </w:r>
      <w:proofErr w:type="spellEnd"/>
      <w:r w:rsidR="00176A14">
        <w:rPr>
          <w:i/>
          <w:iCs/>
        </w:rPr>
        <w:t>.</w:t>
      </w:r>
      <w:bookmarkEnd w:id="0"/>
    </w:p>
    <w:p w14:paraId="46C87462" w14:textId="3C857CC5" w:rsidR="00015E2D" w:rsidRDefault="00015E2D" w:rsidP="00015E2D">
      <w:pPr>
        <w:pStyle w:val="Brdtext"/>
      </w:pPr>
      <w:r>
        <w:t xml:space="preserve">Det är obligatoriskt att rapportera in samtliga signaler för </w:t>
      </w:r>
      <w:proofErr w:type="spellStart"/>
      <w:r>
        <w:t>mFRR</w:t>
      </w:r>
      <w:proofErr w:type="spellEnd"/>
      <w:r w:rsidR="00786AE9">
        <w:t>, enligt ovan specifikationer,</w:t>
      </w:r>
      <w:r>
        <w:t xml:space="preserve"> för att få ett godkänt förkvalificeringsbeslut. </w:t>
      </w:r>
    </w:p>
    <w:p w14:paraId="161E4C85" w14:textId="69D181DB" w:rsidR="00015E2D" w:rsidRDefault="00015E2D" w:rsidP="00015E2D">
      <w:pPr>
        <w:pStyle w:val="Brdtext"/>
      </w:pPr>
      <w:r>
        <w:t xml:space="preserve">Det är dock möjlighet att ansöka om ett undantag att leverera de signaler som inte kan uppvisas under förkvalificeringstesterna angivna </w:t>
      </w:r>
      <w:r w:rsidR="00176A14">
        <w:t xml:space="preserve">i </w:t>
      </w:r>
      <w:r w:rsidR="00176A14" w:rsidRPr="00176A14">
        <w:rPr>
          <w:i/>
          <w:iCs/>
        </w:rPr>
        <w:t xml:space="preserve">Tekniska villkor för förkvalificering och leverans av </w:t>
      </w:r>
      <w:proofErr w:type="spellStart"/>
      <w:r w:rsidR="00176A14" w:rsidRPr="00176A14">
        <w:rPr>
          <w:i/>
          <w:iCs/>
        </w:rPr>
        <w:t>mFRR</w:t>
      </w:r>
      <w:proofErr w:type="spellEnd"/>
      <w:r>
        <w:t xml:space="preserve">. </w:t>
      </w:r>
    </w:p>
    <w:p w14:paraId="2F2CFD3F" w14:textId="7976CBAF" w:rsidR="00015E2D" w:rsidRDefault="00015E2D" w:rsidP="00015E2D">
      <w:pPr>
        <w:pStyle w:val="Brdtext"/>
      </w:pPr>
      <w:r w:rsidRPr="00EE5A53">
        <w:t xml:space="preserve">Om ett undantag utfärdas innebär </w:t>
      </w:r>
      <w:r w:rsidR="00786AE9" w:rsidRPr="00EE5A53">
        <w:t xml:space="preserve">det att </w:t>
      </w:r>
      <w:r w:rsidRPr="00EE5A53">
        <w:t>giltighetstiden för den godkända förkvalificeringen begränsas. Under denna period är det viktigt att leverantörens system uppdateras så att alla signaler loggas.</w:t>
      </w:r>
      <w:r>
        <w:t xml:space="preserve"> </w:t>
      </w:r>
    </w:p>
    <w:p w14:paraId="404CA44A" w14:textId="10D37C75" w:rsidR="00015E2D" w:rsidRDefault="00015E2D" w:rsidP="00015E2D">
      <w:pPr>
        <w:pStyle w:val="Brdtext"/>
      </w:pPr>
      <w:r>
        <w:t xml:space="preserve">Data levereras i </w:t>
      </w:r>
      <w:proofErr w:type="spellStart"/>
      <w:r>
        <w:t>csv-format</w:t>
      </w:r>
      <w:proofErr w:type="spellEnd"/>
      <w:r>
        <w:t xml:space="preserve"> (teckenkodning UTF-8), värden separerade med komma (,) och decimaler angivna med decimalpunkt (.). Rader separeras med radbrytning </w:t>
      </w:r>
      <w:r w:rsidRPr="003E0441">
        <w:t>(</w:t>
      </w:r>
      <w:r w:rsidRPr="003E0441">
        <w:rPr>
          <w:rFonts w:ascii="Cambria Math" w:hAnsi="Cambria Math" w:cs="Cambria Math"/>
        </w:rPr>
        <w:t>↵</w:t>
      </w:r>
      <w:r>
        <w:t xml:space="preserve"> ASCII/CRLF=0x0D 0x0A). Filnamn ska anges på formatet </w:t>
      </w:r>
      <w:r w:rsidRPr="002139E6">
        <w:t>[Resource]_[Service]_[Area]_[Timezone]_[Interval]_[Sampling_rate].csv</w:t>
      </w:r>
      <w:r>
        <w:t xml:space="preserve">, där delelementen </w:t>
      </w:r>
      <w:r w:rsidR="00176A14">
        <w:t xml:space="preserve">finns beskrivna i </w:t>
      </w:r>
      <w:bookmarkStart w:id="1" w:name="_Hlk191571590"/>
      <w:r w:rsidR="00176A14" w:rsidRPr="00176A14">
        <w:rPr>
          <w:i/>
          <w:iCs/>
        </w:rPr>
        <w:t xml:space="preserve">Rapportering av data </w:t>
      </w:r>
      <w:proofErr w:type="spellStart"/>
      <w:r w:rsidR="00176A14" w:rsidRPr="00176A14">
        <w:rPr>
          <w:i/>
          <w:iCs/>
        </w:rPr>
        <w:t>mFRR</w:t>
      </w:r>
      <w:proofErr w:type="spellEnd"/>
      <w:r w:rsidR="00176A14">
        <w:t>.</w:t>
      </w:r>
      <w:bookmarkEnd w:id="1"/>
    </w:p>
    <w:sectPr w:rsidR="00015E2D" w:rsidSect="00102292">
      <w:footerReference w:type="even" r:id="rId13"/>
      <w:footerReference w:type="default" r:id="rId14"/>
      <w:footerReference w:type="first" r:id="rId15"/>
      <w:pgSz w:w="11906" w:h="16838" w:code="9"/>
      <w:pgMar w:top="1701" w:right="2268" w:bottom="1418" w:left="226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901207" w14:textId="77777777" w:rsidR="00B2478F" w:rsidRDefault="00B2478F" w:rsidP="008248E4">
      <w:r>
        <w:separator/>
      </w:r>
    </w:p>
  </w:endnote>
  <w:endnote w:type="continuationSeparator" w:id="0">
    <w:p w14:paraId="75BC79DD" w14:textId="77777777" w:rsidR="00B2478F" w:rsidRDefault="00B2478F" w:rsidP="00824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31" w:type="dxa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5166"/>
      <w:gridCol w:w="2169"/>
      <w:gridCol w:w="2996"/>
    </w:tblGrid>
    <w:tr w:rsidR="00022907" w:rsidRPr="00186D83" w14:paraId="04F78B3A" w14:textId="77777777" w:rsidTr="00186D83">
      <w:trPr>
        <w:trHeight w:hRule="exact" w:val="2019"/>
      </w:trPr>
      <w:tc>
        <w:tcPr>
          <w:tcW w:w="5166" w:type="dxa"/>
          <w:shd w:val="clear" w:color="auto" w:fill="auto"/>
          <w:vAlign w:val="bottom"/>
        </w:tcPr>
        <w:p w14:paraId="3028A9F7" w14:textId="77777777" w:rsidR="00022907" w:rsidRPr="00186D83" w:rsidRDefault="00D97E81" w:rsidP="00E752C0">
          <w:pPr>
            <w:pStyle w:val="Sidfot"/>
            <w:rPr>
              <w:szCs w:val="2"/>
            </w:rPr>
          </w:pPr>
          <w:r>
            <w:rPr>
              <w:rStyle w:val="Sidnummer"/>
              <w:rFonts w:eastAsiaTheme="majorEastAsia"/>
            </w:rPr>
            <w:fldChar w:fldCharType="begin"/>
          </w:r>
          <w:r>
            <w:rPr>
              <w:rStyle w:val="Sidnummer"/>
              <w:rFonts w:eastAsiaTheme="majorEastAsia"/>
            </w:rPr>
            <w:instrText xml:space="preserve"> PAGE  \* MERGEFORMAT </w:instrText>
          </w:r>
          <w:r>
            <w:rPr>
              <w:rStyle w:val="Sidnummer"/>
              <w:rFonts w:eastAsiaTheme="majorEastAsia"/>
            </w:rPr>
            <w:fldChar w:fldCharType="separate"/>
          </w:r>
          <w:r>
            <w:rPr>
              <w:rStyle w:val="Sidnummer"/>
              <w:rFonts w:eastAsiaTheme="majorEastAsia"/>
            </w:rPr>
            <w:t>14</w:t>
          </w:r>
          <w:r>
            <w:rPr>
              <w:rStyle w:val="Sidnummer"/>
              <w:rFonts w:eastAsiaTheme="majorEastAsia"/>
            </w:rPr>
            <w:fldChar w:fldCharType="end"/>
          </w:r>
          <w:r>
            <w:rPr>
              <w:rStyle w:val="Sidnummer"/>
              <w:rFonts w:eastAsiaTheme="majorEastAsia"/>
            </w:rPr>
            <w:t>/</w:t>
          </w:r>
          <w:r>
            <w:rPr>
              <w:rStyle w:val="Sidnummer"/>
              <w:rFonts w:eastAsiaTheme="majorEastAsia"/>
            </w:rPr>
            <w:fldChar w:fldCharType="begin"/>
          </w:r>
          <w:r>
            <w:rPr>
              <w:rStyle w:val="Sidnummer"/>
              <w:rFonts w:eastAsiaTheme="majorEastAsia"/>
            </w:rPr>
            <w:instrText xml:space="preserve"> NUMPAGES  \* MERGEFORMAT </w:instrText>
          </w:r>
          <w:r>
            <w:rPr>
              <w:rStyle w:val="Sidnummer"/>
              <w:rFonts w:eastAsiaTheme="majorEastAsia"/>
            </w:rPr>
            <w:fldChar w:fldCharType="separate"/>
          </w:r>
          <w:r>
            <w:rPr>
              <w:rStyle w:val="Sidnummer"/>
              <w:rFonts w:eastAsiaTheme="majorEastAsia"/>
            </w:rPr>
            <w:t>13</w:t>
          </w:r>
          <w:r>
            <w:rPr>
              <w:rStyle w:val="Sidnummer"/>
              <w:rFonts w:eastAsiaTheme="majorEastAsia"/>
            </w:rPr>
            <w:fldChar w:fldCharType="end"/>
          </w:r>
        </w:p>
      </w:tc>
      <w:tc>
        <w:tcPr>
          <w:tcW w:w="2169" w:type="dxa"/>
          <w:shd w:val="clear" w:color="auto" w:fill="auto"/>
          <w:vAlign w:val="bottom"/>
        </w:tcPr>
        <w:p w14:paraId="230D4006" w14:textId="77777777" w:rsidR="00022907" w:rsidRPr="0051385A" w:rsidRDefault="00D97E81" w:rsidP="00186D83">
          <w:pPr>
            <w:pStyle w:val="Sidfot"/>
            <w:jc w:val="right"/>
            <w:rPr>
              <w:rStyle w:val="Sidnummer"/>
              <w:rFonts w:eastAsiaTheme="majorEastAsia"/>
            </w:rPr>
          </w:pPr>
          <w:r w:rsidRPr="0051385A">
            <w:rPr>
              <w:rStyle w:val="Sidnummer"/>
              <w:rFonts w:eastAsiaTheme="majorEastAsia"/>
            </w:rPr>
            <w:t xml:space="preserve"> </w:t>
          </w:r>
        </w:p>
      </w:tc>
      <w:tc>
        <w:tcPr>
          <w:tcW w:w="2996" w:type="dxa"/>
          <w:shd w:val="clear" w:color="auto" w:fill="auto"/>
          <w:vAlign w:val="bottom"/>
        </w:tcPr>
        <w:p w14:paraId="4E5DF11C" w14:textId="77777777" w:rsidR="00022907" w:rsidRPr="00186D83" w:rsidRDefault="00D97E81" w:rsidP="00186D83">
          <w:pPr>
            <w:pStyle w:val="Sidfot"/>
            <w:jc w:val="center"/>
            <w:rPr>
              <w:szCs w:val="2"/>
            </w:rPr>
          </w:pPr>
          <w:r w:rsidRPr="00186D83">
            <w:rPr>
              <w:noProof/>
              <w:szCs w:val="2"/>
            </w:rPr>
            <w:drawing>
              <wp:inline distT="0" distB="0" distL="0" distR="0" wp14:anchorId="60A93CAA" wp14:editId="57894090">
                <wp:extent cx="762000" cy="628650"/>
                <wp:effectExtent l="0" t="0" r="0" b="0"/>
                <wp:docPr id="5" name="Bild 2" descr="logoSymbo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2" descr="logoSymbo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2000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7A4F18F" w14:textId="77777777" w:rsidR="00022907" w:rsidRDefault="00EE5A53" w:rsidP="00D83D4E">
    <w:pPr>
      <w:pStyle w:val="Sidfot"/>
    </w:pPr>
  </w:p>
  <w:p w14:paraId="7DD3CB58" w14:textId="77777777" w:rsidR="00022907" w:rsidRDefault="00EE5A53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DA340" w14:textId="225A5C5D" w:rsidR="00022907" w:rsidRPr="00C02C06" w:rsidRDefault="00D97E81" w:rsidP="00C02C06">
    <w:pPr>
      <w:pStyle w:val="Sidfot"/>
      <w:jc w:val="center"/>
    </w:pPr>
    <w:r>
      <w:fldChar w:fldCharType="begin"/>
    </w:r>
    <w:r>
      <w:instrText>PAGE   \* MERGEFORMAT</w:instrText>
    </w:r>
    <w:r>
      <w:fldChar w:fldCharType="separate"/>
    </w:r>
    <w:r w:rsidR="00E4696B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59" w:type="dxa"/>
      <w:tblInd w:w="-3038" w:type="dxa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024"/>
      <w:gridCol w:w="5166"/>
      <w:gridCol w:w="2169"/>
    </w:tblGrid>
    <w:tr w:rsidR="00022907" w:rsidRPr="00186D83" w14:paraId="5EDC7C12" w14:textId="77777777" w:rsidTr="00186D83">
      <w:trPr>
        <w:trHeight w:hRule="exact" w:val="2019"/>
      </w:trPr>
      <w:tc>
        <w:tcPr>
          <w:tcW w:w="3024" w:type="dxa"/>
          <w:shd w:val="clear" w:color="auto" w:fill="auto"/>
          <w:tcMar>
            <w:right w:w="0" w:type="dxa"/>
          </w:tcMar>
          <w:vAlign w:val="bottom"/>
        </w:tcPr>
        <w:p w14:paraId="3FF84D45" w14:textId="77777777" w:rsidR="00022907" w:rsidRPr="00186D83" w:rsidRDefault="00D97E81" w:rsidP="00186D83">
          <w:pPr>
            <w:pStyle w:val="Sidfot"/>
            <w:jc w:val="center"/>
            <w:rPr>
              <w:szCs w:val="2"/>
            </w:rPr>
          </w:pPr>
          <w:r w:rsidRPr="00186D83">
            <w:rPr>
              <w:noProof/>
              <w:szCs w:val="2"/>
            </w:rPr>
            <w:drawing>
              <wp:inline distT="0" distB="0" distL="0" distR="0" wp14:anchorId="477EC95A" wp14:editId="65FF50E4">
                <wp:extent cx="762000" cy="628650"/>
                <wp:effectExtent l="0" t="0" r="0" b="0"/>
                <wp:docPr id="6" name="Bild 3" descr="logoSymbo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3" descr="logoSymbo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2000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66" w:type="dxa"/>
          <w:shd w:val="clear" w:color="auto" w:fill="auto"/>
          <w:vAlign w:val="bottom"/>
        </w:tcPr>
        <w:p w14:paraId="33B91D8B" w14:textId="77777777" w:rsidR="00022907" w:rsidRPr="00186D83" w:rsidRDefault="00EE5A53" w:rsidP="00E752C0">
          <w:pPr>
            <w:pStyle w:val="Sidfot"/>
            <w:rPr>
              <w:szCs w:val="2"/>
            </w:rPr>
          </w:pPr>
        </w:p>
      </w:tc>
      <w:tc>
        <w:tcPr>
          <w:tcW w:w="2169" w:type="dxa"/>
          <w:shd w:val="clear" w:color="auto" w:fill="auto"/>
          <w:vAlign w:val="bottom"/>
        </w:tcPr>
        <w:p w14:paraId="5FAF304A" w14:textId="77777777" w:rsidR="00022907" w:rsidRPr="0051385A" w:rsidRDefault="00D97E81" w:rsidP="00186D83">
          <w:pPr>
            <w:pStyle w:val="Sidfot"/>
            <w:jc w:val="right"/>
            <w:rPr>
              <w:rStyle w:val="Sidnummer"/>
              <w:rFonts w:eastAsiaTheme="majorEastAsia"/>
            </w:rPr>
          </w:pPr>
          <w:r>
            <w:rPr>
              <w:rStyle w:val="Sidnummer"/>
              <w:rFonts w:eastAsiaTheme="majorEastAsia"/>
            </w:rPr>
            <w:fldChar w:fldCharType="begin"/>
          </w:r>
          <w:r>
            <w:rPr>
              <w:rStyle w:val="Sidnummer"/>
              <w:rFonts w:eastAsiaTheme="majorEastAsia"/>
            </w:rPr>
            <w:instrText xml:space="preserve"> PAGE  \* MERGEFORMAT </w:instrText>
          </w:r>
          <w:r>
            <w:rPr>
              <w:rStyle w:val="Sidnummer"/>
              <w:rFonts w:eastAsiaTheme="majorEastAsia"/>
            </w:rPr>
            <w:fldChar w:fldCharType="separate"/>
          </w:r>
          <w:r>
            <w:rPr>
              <w:rStyle w:val="Sidnummer"/>
              <w:rFonts w:eastAsiaTheme="majorEastAsia"/>
            </w:rPr>
            <w:t>5</w:t>
          </w:r>
          <w:r>
            <w:rPr>
              <w:rStyle w:val="Sidnummer"/>
              <w:rFonts w:eastAsiaTheme="majorEastAsia"/>
            </w:rPr>
            <w:fldChar w:fldCharType="end"/>
          </w:r>
          <w:r>
            <w:rPr>
              <w:rStyle w:val="Sidnummer"/>
              <w:rFonts w:eastAsiaTheme="majorEastAsia"/>
            </w:rPr>
            <w:t>/</w:t>
          </w:r>
          <w:r>
            <w:rPr>
              <w:rStyle w:val="Sidnummer"/>
              <w:rFonts w:eastAsiaTheme="majorEastAsia"/>
            </w:rPr>
            <w:fldChar w:fldCharType="begin"/>
          </w:r>
          <w:r>
            <w:rPr>
              <w:rStyle w:val="Sidnummer"/>
              <w:rFonts w:eastAsiaTheme="majorEastAsia"/>
            </w:rPr>
            <w:instrText xml:space="preserve"> NUMPAGES  \* MERGEFORMAT </w:instrText>
          </w:r>
          <w:r>
            <w:rPr>
              <w:rStyle w:val="Sidnummer"/>
              <w:rFonts w:eastAsiaTheme="majorEastAsia"/>
            </w:rPr>
            <w:fldChar w:fldCharType="separate"/>
          </w:r>
          <w:r>
            <w:rPr>
              <w:rStyle w:val="Sidnummer"/>
              <w:rFonts w:eastAsiaTheme="majorEastAsia"/>
            </w:rPr>
            <w:t>13</w:t>
          </w:r>
          <w:r>
            <w:rPr>
              <w:rStyle w:val="Sidnummer"/>
              <w:rFonts w:eastAsiaTheme="majorEastAsia"/>
            </w:rPr>
            <w:fldChar w:fldCharType="end"/>
          </w:r>
          <w:r w:rsidRPr="0051385A">
            <w:rPr>
              <w:rStyle w:val="Sidnummer"/>
              <w:rFonts w:eastAsiaTheme="majorEastAsia"/>
            </w:rPr>
            <w:t xml:space="preserve"> </w:t>
          </w:r>
        </w:p>
      </w:tc>
    </w:tr>
  </w:tbl>
  <w:p w14:paraId="4B909BAD" w14:textId="77777777" w:rsidR="00022907" w:rsidRDefault="00EE5A53" w:rsidP="005B040F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F3561F" w14:textId="77777777" w:rsidR="00B2478F" w:rsidRDefault="00B2478F" w:rsidP="008248E4">
      <w:r>
        <w:separator/>
      </w:r>
    </w:p>
  </w:footnote>
  <w:footnote w:type="continuationSeparator" w:id="0">
    <w:p w14:paraId="23018E9F" w14:textId="77777777" w:rsidR="00B2478F" w:rsidRDefault="00B2478F" w:rsidP="008248E4">
      <w:r>
        <w:continuationSeparator/>
      </w:r>
    </w:p>
  </w:footnote>
  <w:footnote w:id="1">
    <w:p w14:paraId="2E9C5664" w14:textId="77777777" w:rsidR="00FF1395" w:rsidRDefault="00FF1395" w:rsidP="00FF1395">
      <w:pPr>
        <w:pStyle w:val="Fotnotstext"/>
      </w:pPr>
      <w:r>
        <w:rPr>
          <w:rStyle w:val="Fotnotsreferens"/>
        </w:rPr>
        <w:footnoteRef/>
      </w:r>
      <w:r>
        <w:t xml:space="preserve"> Märkeffekt för enheten/gruppen som testas</w:t>
      </w:r>
    </w:p>
  </w:footnote>
  <w:footnote w:id="2">
    <w:p w14:paraId="792036C6" w14:textId="79C0C3A8" w:rsidR="000D7111" w:rsidRDefault="000D7111">
      <w:pPr>
        <w:pStyle w:val="Fotnotstext"/>
      </w:pPr>
      <w:r>
        <w:rPr>
          <w:rStyle w:val="Fotnotsreferens"/>
        </w:rPr>
        <w:footnoteRef/>
      </w:r>
      <w:r>
        <w:t xml:space="preserve"> Upplösningen är inget formellt krav men en riktlinje.</w:t>
      </w:r>
    </w:p>
  </w:footnote>
  <w:footnote w:id="3">
    <w:p w14:paraId="4AE0DED3" w14:textId="620D03E8" w:rsidR="000D7111" w:rsidRDefault="000D7111">
      <w:pPr>
        <w:pStyle w:val="Fotnotstext"/>
      </w:pPr>
      <w:r>
        <w:rPr>
          <w:rStyle w:val="Fotnotsreferens"/>
        </w:rPr>
        <w:footnoteRef/>
      </w:r>
      <w:r>
        <w:t xml:space="preserve"> Avser rekommenderad samplingstid för data som sparas under test. Samplingstiden får inte överstiga den maximala sampl</w:t>
      </w:r>
      <w:r w:rsidR="00FF1395">
        <w:t>ingstiden under normal drift (10</w:t>
      </w:r>
      <w:r>
        <w:t xml:space="preserve"> sekunder).</w:t>
      </w:r>
    </w:p>
  </w:footnote>
  <w:footnote w:id="4">
    <w:p w14:paraId="6E875DC0" w14:textId="4B83C4B8" w:rsidR="00CC434E" w:rsidRDefault="00CC434E">
      <w:pPr>
        <w:pStyle w:val="Fotnotstext"/>
      </w:pPr>
      <w:r>
        <w:rPr>
          <w:rStyle w:val="Fotnotsreferens"/>
        </w:rPr>
        <w:footnoteRef/>
      </w:r>
      <w:r>
        <w:t xml:space="preserve"> Uppreglering innebär ökad produktion eller minskad förbrukning</w:t>
      </w:r>
    </w:p>
  </w:footnote>
  <w:footnote w:id="5">
    <w:p w14:paraId="4FFD997F" w14:textId="73FE3092" w:rsidR="00CC434E" w:rsidRDefault="00CC434E">
      <w:pPr>
        <w:pStyle w:val="Fotnotstext"/>
      </w:pPr>
      <w:r>
        <w:rPr>
          <w:rStyle w:val="Fotnotsreferens"/>
        </w:rPr>
        <w:footnoteRef/>
      </w:r>
      <w:r>
        <w:t xml:space="preserve"> Nedreglering innebär minskad produktion eller ökad förbrukning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E7677" w14:textId="77777777" w:rsidR="00102292" w:rsidRPr="001F7DFD" w:rsidRDefault="00102292">
    <w:pPr>
      <w:pStyle w:val="Sidhuvud"/>
      <w:rPr>
        <w:lang w:val="en-US"/>
      </w:rPr>
    </w:pPr>
    <w:r>
      <w:t xml:space="preserve">Testprogram för </w:t>
    </w:r>
    <w:proofErr w:type="spellStart"/>
    <w:r>
      <w:rPr>
        <w:lang w:val="en-US"/>
      </w:rPr>
      <w:t>mFRR</w:t>
    </w:r>
    <w:proofErr w:type="spellEnd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6D0C2" w14:textId="39B997F1" w:rsidR="00102292" w:rsidRDefault="00102292">
    <w:pPr>
      <w:pStyle w:val="Sidhuvud"/>
    </w:pPr>
    <w:r w:rsidRPr="00EA45BB">
      <w:rPr>
        <w:noProof/>
      </w:rPr>
      <w:drawing>
        <wp:anchor distT="0" distB="0" distL="114300" distR="114300" simplePos="0" relativeHeight="251659264" behindDoc="0" locked="0" layoutInCell="1" allowOverlap="1" wp14:anchorId="407B1848" wp14:editId="4D5F6B6E">
          <wp:simplePos x="0" y="0"/>
          <wp:positionH relativeFrom="column">
            <wp:posOffset>-635</wp:posOffset>
          </wp:positionH>
          <wp:positionV relativeFrom="paragraph">
            <wp:posOffset>174321</wp:posOffset>
          </wp:positionV>
          <wp:extent cx="2162175" cy="628650"/>
          <wp:effectExtent l="0" t="0" r="9525" b="0"/>
          <wp:wrapNone/>
          <wp:docPr id="2" name="Bild 1" descr="logoSv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logoSv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D7111">
      <w:tab/>
    </w:r>
    <w:r w:rsidR="000D7111">
      <w:tab/>
    </w:r>
    <w:r w:rsidR="000D7111">
      <w:tab/>
    </w:r>
    <w:r w:rsidR="000D7111">
      <w:tab/>
      <w:t xml:space="preserve">             2020/1039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D"/>
    <w:multiLevelType w:val="singleLevel"/>
    <w:tmpl w:val="EB909722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80"/>
    <w:multiLevelType w:val="singleLevel"/>
    <w:tmpl w:val="35A696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6A2480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8"/>
    <w:multiLevelType w:val="singleLevel"/>
    <w:tmpl w:val="32C073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FFFFFF89"/>
    <w:multiLevelType w:val="singleLevel"/>
    <w:tmpl w:val="BAD280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4CA62B1"/>
    <w:multiLevelType w:val="hybridMultilevel"/>
    <w:tmpl w:val="FA30A20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D64A85"/>
    <w:multiLevelType w:val="hybridMultilevel"/>
    <w:tmpl w:val="8C260DE0"/>
    <w:lvl w:ilvl="0" w:tplc="041D000B">
      <w:start w:val="1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BC7537"/>
    <w:multiLevelType w:val="multilevel"/>
    <w:tmpl w:val="76D07C32"/>
    <w:lvl w:ilvl="0">
      <w:start w:val="1"/>
      <w:numFmt w:val="decimal"/>
      <w:lvlText w:val="%1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557"/>
        </w:tabs>
        <w:ind w:left="5557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" w15:restartNumberingAfterBreak="0">
    <w:nsid w:val="14930733"/>
    <w:multiLevelType w:val="hybridMultilevel"/>
    <w:tmpl w:val="8340D7D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E53764"/>
    <w:multiLevelType w:val="hybridMultilevel"/>
    <w:tmpl w:val="DE04F65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B514DD"/>
    <w:multiLevelType w:val="multilevel"/>
    <w:tmpl w:val="43C0884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5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9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8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85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22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19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416" w:hanging="2520"/>
      </w:pPr>
      <w:rPr>
        <w:rFonts w:hint="default"/>
      </w:rPr>
    </w:lvl>
  </w:abstractNum>
  <w:abstractNum w:abstractNumId="11" w15:restartNumberingAfterBreak="0">
    <w:nsid w:val="2D027312"/>
    <w:multiLevelType w:val="multilevel"/>
    <w:tmpl w:val="266C6248"/>
    <w:lvl w:ilvl="0">
      <w:start w:val="1"/>
      <w:numFmt w:val="decimal"/>
      <w:pStyle w:val="Numreradlista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2EAA6E2B"/>
    <w:multiLevelType w:val="multilevel"/>
    <w:tmpl w:val="041D001F"/>
    <w:numStyleLink w:val="111111"/>
  </w:abstractNum>
  <w:abstractNum w:abstractNumId="13" w15:restartNumberingAfterBreak="0">
    <w:nsid w:val="33045076"/>
    <w:multiLevelType w:val="hybridMultilevel"/>
    <w:tmpl w:val="7AEE600A"/>
    <w:lvl w:ilvl="0" w:tplc="420C5C3A">
      <w:start w:val="3"/>
      <w:numFmt w:val="decimal"/>
      <w:lvlText w:val="%1"/>
      <w:lvlJc w:val="left"/>
      <w:pPr>
        <w:ind w:left="1097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817" w:hanging="360"/>
      </w:pPr>
    </w:lvl>
    <w:lvl w:ilvl="2" w:tplc="041D001B" w:tentative="1">
      <w:start w:val="1"/>
      <w:numFmt w:val="lowerRoman"/>
      <w:lvlText w:val="%3."/>
      <w:lvlJc w:val="right"/>
      <w:pPr>
        <w:ind w:left="2537" w:hanging="180"/>
      </w:pPr>
    </w:lvl>
    <w:lvl w:ilvl="3" w:tplc="041D000F" w:tentative="1">
      <w:start w:val="1"/>
      <w:numFmt w:val="decimal"/>
      <w:lvlText w:val="%4."/>
      <w:lvlJc w:val="left"/>
      <w:pPr>
        <w:ind w:left="3257" w:hanging="360"/>
      </w:pPr>
    </w:lvl>
    <w:lvl w:ilvl="4" w:tplc="041D0019" w:tentative="1">
      <w:start w:val="1"/>
      <w:numFmt w:val="lowerLetter"/>
      <w:lvlText w:val="%5."/>
      <w:lvlJc w:val="left"/>
      <w:pPr>
        <w:ind w:left="3977" w:hanging="360"/>
      </w:pPr>
    </w:lvl>
    <w:lvl w:ilvl="5" w:tplc="041D001B" w:tentative="1">
      <w:start w:val="1"/>
      <w:numFmt w:val="lowerRoman"/>
      <w:lvlText w:val="%6."/>
      <w:lvlJc w:val="right"/>
      <w:pPr>
        <w:ind w:left="4697" w:hanging="180"/>
      </w:pPr>
    </w:lvl>
    <w:lvl w:ilvl="6" w:tplc="041D000F" w:tentative="1">
      <w:start w:val="1"/>
      <w:numFmt w:val="decimal"/>
      <w:lvlText w:val="%7."/>
      <w:lvlJc w:val="left"/>
      <w:pPr>
        <w:ind w:left="5417" w:hanging="360"/>
      </w:pPr>
    </w:lvl>
    <w:lvl w:ilvl="7" w:tplc="041D0019" w:tentative="1">
      <w:start w:val="1"/>
      <w:numFmt w:val="lowerLetter"/>
      <w:lvlText w:val="%8."/>
      <w:lvlJc w:val="left"/>
      <w:pPr>
        <w:ind w:left="6137" w:hanging="360"/>
      </w:pPr>
    </w:lvl>
    <w:lvl w:ilvl="8" w:tplc="041D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4" w15:restartNumberingAfterBreak="0">
    <w:nsid w:val="379B72DE"/>
    <w:multiLevelType w:val="multilevel"/>
    <w:tmpl w:val="8510174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sz w:val="24"/>
      </w:rPr>
    </w:lvl>
  </w:abstractNum>
  <w:abstractNum w:abstractNumId="15" w15:restartNumberingAfterBreak="0">
    <w:nsid w:val="4ABC5955"/>
    <w:multiLevelType w:val="multilevel"/>
    <w:tmpl w:val="9EACA19C"/>
    <w:lvl w:ilvl="0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1">
      <w:start w:val="1"/>
      <w:numFmt w:val="bullet"/>
      <w:lvlText w:val="×"/>
      <w:lvlJc w:val="left"/>
      <w:pPr>
        <w:ind w:left="720" w:hanging="360"/>
      </w:pPr>
      <w:rPr>
        <w:rFonts w:ascii="Palatino Linotype" w:hAnsi="Palatino Linotype" w:hint="default"/>
        <w:b w:val="0"/>
        <w:i w:val="0"/>
        <w:sz w:val="22"/>
      </w:rPr>
    </w:lvl>
    <w:lvl w:ilvl="2">
      <w:start w:val="1"/>
      <w:numFmt w:val="bullet"/>
      <w:lvlText w:val="–"/>
      <w:lvlJc w:val="left"/>
      <w:pPr>
        <w:ind w:left="1080" w:hanging="360"/>
      </w:pPr>
      <w:rPr>
        <w:rFonts w:ascii="Palatino Linotype" w:hAnsi="Palatino Linotype" w:hint="default"/>
        <w:b w:val="0"/>
        <w:i w:val="0"/>
        <w:sz w:val="22"/>
      </w:rPr>
    </w:lvl>
    <w:lvl w:ilvl="3">
      <w:start w:val="1"/>
      <w:numFmt w:val="bullet"/>
      <w:lvlText w:val="×"/>
      <w:lvlJc w:val="left"/>
      <w:pPr>
        <w:ind w:left="1418" w:hanging="338"/>
      </w:pPr>
      <w:rPr>
        <w:rFonts w:ascii="Palatino Linotype" w:hAnsi="Palatino Linotype" w:hint="default"/>
        <w:b w:val="0"/>
        <w:i w:val="0"/>
        <w:sz w:val="22"/>
      </w:rPr>
    </w:lvl>
    <w:lvl w:ilvl="4">
      <w:start w:val="1"/>
      <w:numFmt w:val="bullet"/>
      <w:lvlText w:val="•"/>
      <w:lvlJc w:val="left"/>
      <w:pPr>
        <w:ind w:left="1758" w:hanging="340"/>
      </w:pPr>
      <w:rPr>
        <w:rFonts w:ascii="Times New Roman" w:hAnsi="Times New Roman" w:cs="Times New Roman" w:hint="default"/>
        <w:b w:val="0"/>
        <w:i w:val="0"/>
        <w:sz w:val="22"/>
      </w:rPr>
    </w:lvl>
    <w:lvl w:ilvl="5">
      <w:start w:val="1"/>
      <w:numFmt w:val="bullet"/>
      <w:lvlText w:val="×"/>
      <w:lvlJc w:val="left"/>
      <w:pPr>
        <w:ind w:left="2098" w:hanging="340"/>
      </w:pPr>
      <w:rPr>
        <w:rFonts w:ascii="Palatino Linotype" w:hAnsi="Palatino Linotype" w:hint="default"/>
        <w:b w:val="0"/>
        <w:i w:val="0"/>
        <w:sz w:val="22"/>
      </w:rPr>
    </w:lvl>
    <w:lvl w:ilvl="6">
      <w:start w:val="1"/>
      <w:numFmt w:val="bullet"/>
      <w:lvlText w:val="•"/>
      <w:lvlJc w:val="left"/>
      <w:pPr>
        <w:ind w:left="2438" w:hanging="340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7">
      <w:start w:val="1"/>
      <w:numFmt w:val="bullet"/>
      <w:lvlText w:val="×"/>
      <w:lvlJc w:val="left"/>
      <w:pPr>
        <w:ind w:left="2778" w:hanging="340"/>
      </w:pPr>
      <w:rPr>
        <w:rFonts w:ascii="Palatino Linotype" w:hAnsi="Palatino Linotype" w:hint="default"/>
        <w:b w:val="0"/>
        <w:i w:val="0"/>
        <w:sz w:val="22"/>
      </w:rPr>
    </w:lvl>
    <w:lvl w:ilvl="8">
      <w:start w:val="1"/>
      <w:numFmt w:val="bullet"/>
      <w:lvlText w:val="•"/>
      <w:lvlJc w:val="left"/>
      <w:pPr>
        <w:ind w:left="3119" w:hanging="341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</w:abstractNum>
  <w:abstractNum w:abstractNumId="16" w15:restartNumberingAfterBreak="0">
    <w:nsid w:val="4B316C01"/>
    <w:multiLevelType w:val="hybridMultilevel"/>
    <w:tmpl w:val="14D4807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666224"/>
    <w:multiLevelType w:val="multilevel"/>
    <w:tmpl w:val="5A4EFB18"/>
    <w:lvl w:ilvl="0">
      <w:start w:val="1"/>
      <w:numFmt w:val="bullet"/>
      <w:pStyle w:val="Punktlista"/>
      <w:lvlText w:val="&gt;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14"/>
      </w:rPr>
    </w:lvl>
    <w:lvl w:ilvl="1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˟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18"/>
        <w:vertAlign w:val="subscrip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5D4B56E0"/>
    <w:multiLevelType w:val="multilevel"/>
    <w:tmpl w:val="91504D6A"/>
    <w:lvl w:ilvl="0">
      <w:start w:val="1"/>
      <w:numFmt w:val="decimal"/>
      <w:pStyle w:val="Nummerlista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737" w:hanging="380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737"/>
        </w:tabs>
        <w:ind w:left="1077" w:hanging="340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1077"/>
        </w:tabs>
        <w:ind w:left="1361" w:hanging="284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–"/>
      <w:lvlJc w:val="left"/>
      <w:pPr>
        <w:tabs>
          <w:tab w:val="num" w:pos="1361"/>
        </w:tabs>
        <w:ind w:left="1644" w:hanging="283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–"/>
      <w:lvlJc w:val="left"/>
      <w:pPr>
        <w:tabs>
          <w:tab w:val="num" w:pos="1644"/>
        </w:tabs>
        <w:ind w:left="1928" w:hanging="284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–"/>
      <w:lvlJc w:val="left"/>
      <w:pPr>
        <w:tabs>
          <w:tab w:val="num" w:pos="1928"/>
        </w:tabs>
        <w:ind w:left="2211" w:hanging="283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–"/>
      <w:lvlJc w:val="left"/>
      <w:pPr>
        <w:tabs>
          <w:tab w:val="num" w:pos="2211"/>
        </w:tabs>
        <w:ind w:left="2495" w:hanging="284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–"/>
      <w:lvlJc w:val="left"/>
      <w:pPr>
        <w:ind w:left="2778" w:hanging="283"/>
      </w:pPr>
      <w:rPr>
        <w:rFonts w:ascii="Times New Roman" w:hAnsi="Times New Roman" w:cs="Times New Roman" w:hint="default"/>
      </w:rPr>
    </w:lvl>
  </w:abstractNum>
  <w:abstractNum w:abstractNumId="19" w15:restartNumberingAfterBreak="0">
    <w:nsid w:val="6C3D3C30"/>
    <w:multiLevelType w:val="multilevel"/>
    <w:tmpl w:val="041D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D9E25F8"/>
    <w:multiLevelType w:val="multilevel"/>
    <w:tmpl w:val="28104FCA"/>
    <w:lvl w:ilvl="0">
      <w:start w:val="1"/>
      <w:numFmt w:val="bullet"/>
      <w:lvlText w:val="•"/>
      <w:lvlJc w:val="left"/>
      <w:pPr>
        <w:ind w:left="357" w:hanging="357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–"/>
      <w:lvlJc w:val="left"/>
      <w:pPr>
        <w:ind w:left="737" w:hanging="38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×"/>
      <w:lvlJc w:val="left"/>
      <w:pPr>
        <w:tabs>
          <w:tab w:val="num" w:pos="737"/>
        </w:tabs>
        <w:ind w:left="1077" w:hanging="34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1077"/>
        </w:tabs>
        <w:ind w:left="1361" w:hanging="284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–"/>
      <w:lvlJc w:val="left"/>
      <w:pPr>
        <w:tabs>
          <w:tab w:val="num" w:pos="1361"/>
        </w:tabs>
        <w:ind w:left="1644" w:hanging="283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×"/>
      <w:lvlJc w:val="left"/>
      <w:pPr>
        <w:tabs>
          <w:tab w:val="num" w:pos="1644"/>
        </w:tabs>
        <w:ind w:left="1928" w:hanging="284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tabs>
          <w:tab w:val="num" w:pos="1928"/>
        </w:tabs>
        <w:ind w:left="2211" w:hanging="283"/>
      </w:pPr>
      <w:rPr>
        <w:rFonts w:ascii="Times New Roman" w:hAnsi="Times New Roman" w:cs="Times New Roman" w:hint="default"/>
        <w:color w:val="auto"/>
      </w:rPr>
    </w:lvl>
    <w:lvl w:ilvl="7">
      <w:start w:val="1"/>
      <w:numFmt w:val="bullet"/>
      <w:lvlText w:val="–"/>
      <w:lvlJc w:val="left"/>
      <w:pPr>
        <w:tabs>
          <w:tab w:val="num" w:pos="2211"/>
        </w:tabs>
        <w:ind w:left="2495" w:hanging="284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×"/>
      <w:lvlJc w:val="left"/>
      <w:pPr>
        <w:ind w:left="2778" w:hanging="283"/>
      </w:pPr>
      <w:rPr>
        <w:rFonts w:ascii="Times New Roman" w:hAnsi="Times New Roman" w:cs="Times New Roman" w:hint="default"/>
      </w:rPr>
    </w:lvl>
  </w:abstractNum>
  <w:abstractNum w:abstractNumId="21" w15:restartNumberingAfterBreak="0">
    <w:nsid w:val="6FCD5E8B"/>
    <w:multiLevelType w:val="hybridMultilevel"/>
    <w:tmpl w:val="8340D7D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5"/>
  </w:num>
  <w:num w:numId="3">
    <w:abstractNumId w:val="14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</w:num>
  <w:num w:numId="8">
    <w:abstractNumId w:val="1"/>
  </w:num>
  <w:num w:numId="9">
    <w:abstractNumId w:val="3"/>
  </w:num>
  <w:num w:numId="10">
    <w:abstractNumId w:val="17"/>
  </w:num>
  <w:num w:numId="11">
    <w:abstractNumId w:val="11"/>
  </w:num>
  <w:num w:numId="12">
    <w:abstractNumId w:val="11"/>
  </w:num>
  <w:num w:numId="13">
    <w:abstractNumId w:val="2"/>
  </w:num>
  <w:num w:numId="14">
    <w:abstractNumId w:val="0"/>
  </w:num>
  <w:num w:numId="15">
    <w:abstractNumId w:val="7"/>
  </w:num>
  <w:num w:numId="16">
    <w:abstractNumId w:val="21"/>
  </w:num>
  <w:num w:numId="17">
    <w:abstractNumId w:val="8"/>
  </w:num>
  <w:num w:numId="18">
    <w:abstractNumId w:val="16"/>
  </w:num>
  <w:num w:numId="19">
    <w:abstractNumId w:val="9"/>
  </w:num>
  <w:num w:numId="20">
    <w:abstractNumId w:val="5"/>
  </w:num>
  <w:num w:numId="21">
    <w:abstractNumId w:val="6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</w:num>
  <w:num w:numId="24">
    <w:abstractNumId w:val="13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1304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2292"/>
    <w:rsid w:val="00015E2D"/>
    <w:rsid w:val="00020B55"/>
    <w:rsid w:val="00025CC3"/>
    <w:rsid w:val="00043465"/>
    <w:rsid w:val="00045597"/>
    <w:rsid w:val="00047DAC"/>
    <w:rsid w:val="00053D47"/>
    <w:rsid w:val="0006022A"/>
    <w:rsid w:val="00083051"/>
    <w:rsid w:val="00096D44"/>
    <w:rsid w:val="00096EC6"/>
    <w:rsid w:val="000974AA"/>
    <w:rsid w:val="000A3817"/>
    <w:rsid w:val="000A40B6"/>
    <w:rsid w:val="000D7111"/>
    <w:rsid w:val="000E3532"/>
    <w:rsid w:val="00102292"/>
    <w:rsid w:val="00134AB8"/>
    <w:rsid w:val="00142B47"/>
    <w:rsid w:val="00150A54"/>
    <w:rsid w:val="0017425C"/>
    <w:rsid w:val="00176A14"/>
    <w:rsid w:val="0019544F"/>
    <w:rsid w:val="001B0655"/>
    <w:rsid w:val="001B3E30"/>
    <w:rsid w:val="001C0C1E"/>
    <w:rsid w:val="001D0636"/>
    <w:rsid w:val="001D2803"/>
    <w:rsid w:val="001F7124"/>
    <w:rsid w:val="00202A3A"/>
    <w:rsid w:val="00204ED5"/>
    <w:rsid w:val="002217C7"/>
    <w:rsid w:val="00226232"/>
    <w:rsid w:val="0024036C"/>
    <w:rsid w:val="002470D9"/>
    <w:rsid w:val="00247C2F"/>
    <w:rsid w:val="002524FD"/>
    <w:rsid w:val="0025576A"/>
    <w:rsid w:val="0027368B"/>
    <w:rsid w:val="00274575"/>
    <w:rsid w:val="0027627F"/>
    <w:rsid w:val="0029131B"/>
    <w:rsid w:val="002A32FC"/>
    <w:rsid w:val="002B2EDC"/>
    <w:rsid w:val="002B5708"/>
    <w:rsid w:val="002C3B60"/>
    <w:rsid w:val="002C4596"/>
    <w:rsid w:val="002C4B15"/>
    <w:rsid w:val="002D244E"/>
    <w:rsid w:val="002F7BE5"/>
    <w:rsid w:val="0031600D"/>
    <w:rsid w:val="00327251"/>
    <w:rsid w:val="00327681"/>
    <w:rsid w:val="00352A94"/>
    <w:rsid w:val="0035489D"/>
    <w:rsid w:val="003576E2"/>
    <w:rsid w:val="003674E8"/>
    <w:rsid w:val="00385516"/>
    <w:rsid w:val="003A7049"/>
    <w:rsid w:val="003D1180"/>
    <w:rsid w:val="00411D96"/>
    <w:rsid w:val="004249B7"/>
    <w:rsid w:val="0045306A"/>
    <w:rsid w:val="00456487"/>
    <w:rsid w:val="00460EA4"/>
    <w:rsid w:val="00480BC7"/>
    <w:rsid w:val="00493242"/>
    <w:rsid w:val="004F2917"/>
    <w:rsid w:val="00511FCD"/>
    <w:rsid w:val="005246BC"/>
    <w:rsid w:val="005525A1"/>
    <w:rsid w:val="0055758B"/>
    <w:rsid w:val="00582FCD"/>
    <w:rsid w:val="005837B8"/>
    <w:rsid w:val="005A43B4"/>
    <w:rsid w:val="005D0060"/>
    <w:rsid w:val="005D314A"/>
    <w:rsid w:val="005D36CF"/>
    <w:rsid w:val="005E4C91"/>
    <w:rsid w:val="00625D71"/>
    <w:rsid w:val="006309CB"/>
    <w:rsid w:val="00647D16"/>
    <w:rsid w:val="00654A45"/>
    <w:rsid w:val="00655C54"/>
    <w:rsid w:val="0065655C"/>
    <w:rsid w:val="00657C61"/>
    <w:rsid w:val="00657DF2"/>
    <w:rsid w:val="00657F3C"/>
    <w:rsid w:val="00676EBE"/>
    <w:rsid w:val="00680778"/>
    <w:rsid w:val="006D1ED6"/>
    <w:rsid w:val="006E4196"/>
    <w:rsid w:val="006F38E8"/>
    <w:rsid w:val="006F50F4"/>
    <w:rsid w:val="007130D1"/>
    <w:rsid w:val="00716682"/>
    <w:rsid w:val="00722040"/>
    <w:rsid w:val="007222B0"/>
    <w:rsid w:val="00727F47"/>
    <w:rsid w:val="00742C31"/>
    <w:rsid w:val="00786AE9"/>
    <w:rsid w:val="007A26F9"/>
    <w:rsid w:val="007A3536"/>
    <w:rsid w:val="007D262C"/>
    <w:rsid w:val="007F04A8"/>
    <w:rsid w:val="00804F2C"/>
    <w:rsid w:val="008248E4"/>
    <w:rsid w:val="008314D7"/>
    <w:rsid w:val="00851B71"/>
    <w:rsid w:val="00861ABD"/>
    <w:rsid w:val="00881990"/>
    <w:rsid w:val="008C7498"/>
    <w:rsid w:val="008E3DA8"/>
    <w:rsid w:val="008E52D3"/>
    <w:rsid w:val="008E5E26"/>
    <w:rsid w:val="008F1185"/>
    <w:rsid w:val="00913EF4"/>
    <w:rsid w:val="00922EF0"/>
    <w:rsid w:val="0093174F"/>
    <w:rsid w:val="009605CA"/>
    <w:rsid w:val="00964C33"/>
    <w:rsid w:val="00966839"/>
    <w:rsid w:val="0097004A"/>
    <w:rsid w:val="00985CAB"/>
    <w:rsid w:val="00993638"/>
    <w:rsid w:val="009B5178"/>
    <w:rsid w:val="009C1ABB"/>
    <w:rsid w:val="009C2A14"/>
    <w:rsid w:val="009D21C2"/>
    <w:rsid w:val="009D5C4A"/>
    <w:rsid w:val="009E72D3"/>
    <w:rsid w:val="00A0195B"/>
    <w:rsid w:val="00A133D3"/>
    <w:rsid w:val="00A60BD3"/>
    <w:rsid w:val="00A93E0A"/>
    <w:rsid w:val="00A94F21"/>
    <w:rsid w:val="00AA245C"/>
    <w:rsid w:val="00AA7234"/>
    <w:rsid w:val="00B2478F"/>
    <w:rsid w:val="00B2660F"/>
    <w:rsid w:val="00B702DC"/>
    <w:rsid w:val="00B72253"/>
    <w:rsid w:val="00BB1345"/>
    <w:rsid w:val="00BB61D0"/>
    <w:rsid w:val="00BB6388"/>
    <w:rsid w:val="00BB6AA2"/>
    <w:rsid w:val="00C35330"/>
    <w:rsid w:val="00C44D73"/>
    <w:rsid w:val="00C47817"/>
    <w:rsid w:val="00C50EA3"/>
    <w:rsid w:val="00C639ED"/>
    <w:rsid w:val="00C727F7"/>
    <w:rsid w:val="00C86718"/>
    <w:rsid w:val="00CB49A3"/>
    <w:rsid w:val="00CC17EF"/>
    <w:rsid w:val="00CC434E"/>
    <w:rsid w:val="00CE3C22"/>
    <w:rsid w:val="00D107B0"/>
    <w:rsid w:val="00D36B5B"/>
    <w:rsid w:val="00D37830"/>
    <w:rsid w:val="00D41C95"/>
    <w:rsid w:val="00D42633"/>
    <w:rsid w:val="00D54BF0"/>
    <w:rsid w:val="00D61575"/>
    <w:rsid w:val="00D76CC5"/>
    <w:rsid w:val="00D81AEC"/>
    <w:rsid w:val="00D85580"/>
    <w:rsid w:val="00D95A7B"/>
    <w:rsid w:val="00D97E81"/>
    <w:rsid w:val="00DA6975"/>
    <w:rsid w:val="00DB0AB6"/>
    <w:rsid w:val="00DB12E9"/>
    <w:rsid w:val="00DC51DB"/>
    <w:rsid w:val="00DD4C18"/>
    <w:rsid w:val="00E258FA"/>
    <w:rsid w:val="00E367CB"/>
    <w:rsid w:val="00E41E70"/>
    <w:rsid w:val="00E449DE"/>
    <w:rsid w:val="00E4696B"/>
    <w:rsid w:val="00E50339"/>
    <w:rsid w:val="00E54D3D"/>
    <w:rsid w:val="00E81406"/>
    <w:rsid w:val="00EA0267"/>
    <w:rsid w:val="00EA5D9B"/>
    <w:rsid w:val="00EA6A45"/>
    <w:rsid w:val="00EB0A7B"/>
    <w:rsid w:val="00EC35F5"/>
    <w:rsid w:val="00EE5A53"/>
    <w:rsid w:val="00EF2022"/>
    <w:rsid w:val="00F516D7"/>
    <w:rsid w:val="00F66494"/>
    <w:rsid w:val="00F84C56"/>
    <w:rsid w:val="00F87D4C"/>
    <w:rsid w:val="00FE6500"/>
    <w:rsid w:val="00FF1395"/>
    <w:rsid w:val="00FF2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5D43907B"/>
  <w15:chartTrackingRefBased/>
  <w15:docId w15:val="{FCFC2A6D-E942-43ED-84DB-9ECA64599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unhideWhenUsed="1"/>
    <w:lsdException w:name="annotation text" w:semiHidden="1" w:unhideWhenUsed="1"/>
    <w:lsdException w:name="header" w:uiPriority="0" w:unhideWhenUsed="1"/>
    <w:lsdException w:name="footer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iPriority="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qFormat/>
    <w:rsid w:val="00102292"/>
    <w:pPr>
      <w:spacing w:after="0" w:line="240" w:lineRule="auto"/>
    </w:pPr>
    <w:rPr>
      <w:rFonts w:ascii="Georgia" w:eastAsia="Times New Roman" w:hAnsi="Georgia" w:cs="Times New Roman"/>
      <w:sz w:val="19"/>
      <w:szCs w:val="24"/>
      <w:lang w:eastAsia="sv-SE"/>
    </w:rPr>
  </w:style>
  <w:style w:type="paragraph" w:styleId="Rubrik1">
    <w:name w:val="heading 1"/>
    <w:basedOn w:val="Normal"/>
    <w:next w:val="Brdtext"/>
    <w:link w:val="Rubrik1Char"/>
    <w:uiPriority w:val="9"/>
    <w:qFormat/>
    <w:rsid w:val="002A32FC"/>
    <w:pPr>
      <w:keepNext/>
      <w:keepLines/>
      <w:spacing w:before="480" w:after="120"/>
      <w:outlineLvl w:val="0"/>
    </w:pPr>
    <w:rPr>
      <w:rFonts w:eastAsiaTheme="majorEastAsia" w:cstheme="majorBidi"/>
      <w:sz w:val="36"/>
      <w:szCs w:val="32"/>
    </w:rPr>
  </w:style>
  <w:style w:type="paragraph" w:styleId="Rubrik2">
    <w:name w:val="heading 2"/>
    <w:basedOn w:val="Normal"/>
    <w:next w:val="Brdtext"/>
    <w:link w:val="Rubrik2Char"/>
    <w:uiPriority w:val="9"/>
    <w:qFormat/>
    <w:rsid w:val="00913EF4"/>
    <w:pPr>
      <w:keepNext/>
      <w:keepLines/>
      <w:spacing w:before="240"/>
      <w:outlineLvl w:val="1"/>
    </w:pPr>
    <w:rPr>
      <w:rFonts w:eastAsiaTheme="majorEastAsia" w:cstheme="majorBidi"/>
      <w:sz w:val="28"/>
      <w:szCs w:val="26"/>
    </w:rPr>
  </w:style>
  <w:style w:type="paragraph" w:styleId="Rubrik3">
    <w:name w:val="heading 3"/>
    <w:basedOn w:val="Normal"/>
    <w:next w:val="Brdtext"/>
    <w:link w:val="Rubrik3Char"/>
    <w:uiPriority w:val="9"/>
    <w:qFormat/>
    <w:rsid w:val="00913EF4"/>
    <w:pPr>
      <w:keepNext/>
      <w:keepLines/>
      <w:spacing w:before="240"/>
      <w:outlineLvl w:val="2"/>
    </w:pPr>
    <w:rPr>
      <w:rFonts w:eastAsiaTheme="majorEastAsia" w:cstheme="majorBidi"/>
      <w:sz w:val="24"/>
    </w:rPr>
  </w:style>
  <w:style w:type="paragraph" w:styleId="Rubrik4">
    <w:name w:val="heading 4"/>
    <w:aliases w:val="Ärendemening"/>
    <w:basedOn w:val="Normal"/>
    <w:next w:val="Brdtext"/>
    <w:link w:val="Rubrik4Char"/>
    <w:uiPriority w:val="9"/>
    <w:qFormat/>
    <w:rsid w:val="00A0195B"/>
    <w:pPr>
      <w:keepNext/>
      <w:keepLines/>
      <w:spacing w:before="240"/>
      <w:outlineLvl w:val="3"/>
    </w:pPr>
    <w:rPr>
      <w:rFonts w:eastAsiaTheme="majorEastAsia" w:cstheme="majorBidi"/>
      <w:b/>
      <w:iCs/>
    </w:rPr>
  </w:style>
  <w:style w:type="paragraph" w:styleId="Rubrik5">
    <w:name w:val="heading 5"/>
    <w:basedOn w:val="Normal"/>
    <w:next w:val="Brdtext"/>
    <w:link w:val="Rubrik5Char"/>
    <w:uiPriority w:val="9"/>
    <w:semiHidden/>
    <w:qFormat/>
    <w:rsid w:val="00913EF4"/>
    <w:pPr>
      <w:keepNext/>
      <w:keepLines/>
      <w:spacing w:before="520"/>
      <w:outlineLvl w:val="4"/>
    </w:pPr>
    <w:rPr>
      <w:rFonts w:eastAsiaTheme="majorEastAsia" w:cstheme="majorBidi"/>
    </w:rPr>
  </w:style>
  <w:style w:type="paragraph" w:styleId="Rubrik6">
    <w:name w:val="heading 6"/>
    <w:basedOn w:val="Rubrik5"/>
    <w:next w:val="Brdtext"/>
    <w:link w:val="Rubrik6Char"/>
    <w:uiPriority w:val="9"/>
    <w:semiHidden/>
    <w:qFormat/>
    <w:rsid w:val="00913EF4"/>
    <w:pPr>
      <w:outlineLvl w:val="5"/>
    </w:pPr>
    <w:rPr>
      <w:color w:val="333333" w:themeColor="text1"/>
    </w:rPr>
  </w:style>
  <w:style w:type="paragraph" w:styleId="Rubrik7">
    <w:name w:val="heading 7"/>
    <w:basedOn w:val="Rubrik6"/>
    <w:next w:val="Brdtext"/>
    <w:link w:val="Rubrik7Char"/>
    <w:uiPriority w:val="9"/>
    <w:semiHidden/>
    <w:qFormat/>
    <w:rsid w:val="00913EF4"/>
    <w:pPr>
      <w:outlineLvl w:val="6"/>
    </w:pPr>
    <w:rPr>
      <w:iCs/>
    </w:rPr>
  </w:style>
  <w:style w:type="paragraph" w:styleId="Rubrik8">
    <w:name w:val="heading 8"/>
    <w:basedOn w:val="Rubrik7"/>
    <w:next w:val="Brdtext"/>
    <w:link w:val="Rubrik8Char"/>
    <w:uiPriority w:val="9"/>
    <w:semiHidden/>
    <w:qFormat/>
    <w:rsid w:val="00913EF4"/>
    <w:pPr>
      <w:outlineLvl w:val="7"/>
    </w:pPr>
    <w:rPr>
      <w:szCs w:val="21"/>
    </w:rPr>
  </w:style>
  <w:style w:type="paragraph" w:styleId="Rubrik9">
    <w:name w:val="heading 9"/>
    <w:basedOn w:val="Rubrik8"/>
    <w:next w:val="Brdtext"/>
    <w:link w:val="Rubrik9Char"/>
    <w:uiPriority w:val="9"/>
    <w:semiHidden/>
    <w:qFormat/>
    <w:rsid w:val="00913EF4"/>
    <w:pPr>
      <w:outlineLvl w:val="8"/>
    </w:pPr>
    <w:rPr>
      <w:iCs w:val="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27368B"/>
    <w:pPr>
      <w:spacing w:after="200" w:line="300" w:lineRule="atLeast"/>
    </w:pPr>
    <w:rPr>
      <w:sz w:val="20"/>
    </w:rPr>
  </w:style>
  <w:style w:type="character" w:customStyle="1" w:styleId="BrdtextChar">
    <w:name w:val="Brödtext Char"/>
    <w:basedOn w:val="Standardstycketeckensnitt"/>
    <w:link w:val="Brdtext"/>
    <w:rsid w:val="0027368B"/>
    <w:rPr>
      <w:sz w:val="20"/>
    </w:rPr>
  </w:style>
  <w:style w:type="paragraph" w:styleId="Punktlista">
    <w:name w:val="List Bullet"/>
    <w:basedOn w:val="Normal"/>
    <w:qFormat/>
    <w:rsid w:val="006D1ED6"/>
    <w:pPr>
      <w:numPr>
        <w:numId w:val="10"/>
      </w:numPr>
      <w:spacing w:after="120" w:line="300" w:lineRule="atLeast"/>
    </w:pPr>
    <w:rPr>
      <w:sz w:val="20"/>
    </w:rPr>
  </w:style>
  <w:style w:type="paragraph" w:customStyle="1" w:styleId="Nummerlista">
    <w:name w:val="Nummerlista"/>
    <w:basedOn w:val="Brdtext"/>
    <w:semiHidden/>
    <w:qFormat/>
    <w:rsid w:val="00083051"/>
    <w:pPr>
      <w:numPr>
        <w:numId w:val="7"/>
      </w:numPr>
      <w:contextualSpacing/>
    </w:pPr>
  </w:style>
  <w:style w:type="character" w:customStyle="1" w:styleId="Rubrik1Char">
    <w:name w:val="Rubrik 1 Char"/>
    <w:basedOn w:val="Standardstycketeckensnitt"/>
    <w:link w:val="Rubrik1"/>
    <w:uiPriority w:val="9"/>
    <w:rsid w:val="002A32FC"/>
    <w:rPr>
      <w:rFonts w:eastAsiaTheme="majorEastAsia" w:cstheme="majorBidi"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913EF4"/>
    <w:rPr>
      <w:rFonts w:eastAsiaTheme="majorEastAsia" w:cstheme="majorBidi"/>
      <w:sz w:val="28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913EF4"/>
    <w:rPr>
      <w:rFonts w:eastAsiaTheme="majorEastAsia" w:cstheme="majorBidi"/>
      <w:sz w:val="24"/>
      <w:szCs w:val="24"/>
    </w:rPr>
  </w:style>
  <w:style w:type="character" w:customStyle="1" w:styleId="Rubrik4Char">
    <w:name w:val="Rubrik 4 Char"/>
    <w:aliases w:val="Ärendemening Char"/>
    <w:basedOn w:val="Standardstycketeckensnitt"/>
    <w:link w:val="Rubrik4"/>
    <w:uiPriority w:val="9"/>
    <w:rsid w:val="00A0195B"/>
    <w:rPr>
      <w:rFonts w:eastAsiaTheme="majorEastAsia" w:cstheme="majorBidi"/>
      <w:b/>
      <w:iCs/>
      <w:sz w:val="19"/>
    </w:rPr>
  </w:style>
  <w:style w:type="paragraph" w:customStyle="1" w:styleId="Tabelltext">
    <w:name w:val="Tabelltext"/>
    <w:basedOn w:val="Normal"/>
    <w:qFormat/>
    <w:rsid w:val="002470D9"/>
    <w:rPr>
      <w:rFonts w:asciiTheme="majorHAnsi" w:hAnsiTheme="majorHAnsi"/>
      <w:sz w:val="14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913EF4"/>
    <w:rPr>
      <w:rFonts w:eastAsiaTheme="majorEastAsia" w:cstheme="majorBidi"/>
      <w:sz w:val="19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913EF4"/>
    <w:rPr>
      <w:rFonts w:eastAsiaTheme="majorEastAsia" w:cstheme="majorBidi"/>
      <w:color w:val="333333" w:themeColor="text1"/>
      <w:sz w:val="19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913EF4"/>
    <w:rPr>
      <w:rFonts w:eastAsiaTheme="majorEastAsia" w:cstheme="majorBidi"/>
      <w:iCs/>
      <w:color w:val="333333" w:themeColor="text1"/>
      <w:sz w:val="19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913EF4"/>
    <w:rPr>
      <w:rFonts w:eastAsiaTheme="majorEastAsia" w:cstheme="majorBidi"/>
      <w:iCs/>
      <w:color w:val="333333" w:themeColor="text1"/>
      <w:sz w:val="19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913EF4"/>
    <w:rPr>
      <w:rFonts w:eastAsiaTheme="majorEastAsia" w:cstheme="majorBidi"/>
      <w:color w:val="333333" w:themeColor="text1"/>
      <w:sz w:val="19"/>
      <w:szCs w:val="21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9131B"/>
    <w:rPr>
      <w:rFonts w:ascii="Tahoma" w:hAnsi="Tahoma" w:cs="Segoe UI"/>
      <w:sz w:val="16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9131B"/>
    <w:rPr>
      <w:rFonts w:ascii="Tahoma" w:hAnsi="Tahoma" w:cs="Segoe UI"/>
      <w:sz w:val="16"/>
      <w:szCs w:val="18"/>
    </w:r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E367CB"/>
    <w:rPr>
      <w:rFonts w:asciiTheme="majorHAnsi" w:hAnsiTheme="majorHAns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E367CB"/>
    <w:rPr>
      <w:rFonts w:asciiTheme="majorHAnsi" w:hAnsiTheme="majorHAnsi" w:cs="Segoe UI"/>
      <w:sz w:val="16"/>
      <w:szCs w:val="16"/>
    </w:rPr>
  </w:style>
  <w:style w:type="table" w:customStyle="1" w:styleId="Tabell">
    <w:name w:val="Tabell"/>
    <w:basedOn w:val="Normaltabell"/>
    <w:uiPriority w:val="99"/>
    <w:rsid w:val="00DC51DB"/>
    <w:pPr>
      <w:spacing w:before="40" w:after="40" w:line="240" w:lineRule="auto"/>
    </w:pPr>
    <w:rPr>
      <w:rFonts w:asciiTheme="majorHAnsi" w:eastAsia="Times New Roman" w:hAnsiTheme="majorHAnsi" w:cs="Times New Roman"/>
      <w:sz w:val="16"/>
      <w:szCs w:val="20"/>
      <w:lang w:eastAsia="sv-SE"/>
    </w:rPr>
    <w:tblPr>
      <w:tblStyleRowBandSize w:val="1"/>
      <w:tblStyleColBandSize w:val="1"/>
      <w:tblBorders>
        <w:bottom w:val="single" w:sz="8" w:space="0" w:color="auto"/>
      </w:tblBorders>
    </w:tblPr>
    <w:trPr>
      <w:cantSplit/>
    </w:trPr>
    <w:tcPr>
      <w:shd w:val="clear" w:color="auto" w:fill="FFFFFF" w:themeFill="background1"/>
    </w:tcPr>
    <w:tblStylePr w:type="firstRow">
      <w:pPr>
        <w:keepNext/>
        <w:wordWrap/>
      </w:pPr>
      <w:rPr>
        <w:rFonts w:asciiTheme="majorHAnsi" w:hAnsiTheme="majorHAnsi"/>
        <w:b/>
        <w:sz w:val="18"/>
      </w:rPr>
      <w:tblPr/>
      <w:trPr>
        <w:tblHeader/>
      </w:trPr>
      <w:tcPr>
        <w:tcBorders>
          <w:top w:val="single" w:sz="8" w:space="0" w:color="auto"/>
          <w:left w:val="nil"/>
          <w:bottom w:val="single" w:sz="8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Theme="majorHAnsi" w:hAnsiTheme="majorHAnsi"/>
        <w:b/>
      </w:rPr>
    </w:tblStylePr>
    <w:tblStylePr w:type="firstCol">
      <w:rPr>
        <w:rFonts w:asciiTheme="majorHAnsi" w:hAnsiTheme="majorHAnsi"/>
      </w:rPr>
    </w:tblStylePr>
    <w:tblStylePr w:type="lastCol">
      <w:rPr>
        <w:rFonts w:asciiTheme="majorHAnsi" w:hAnsiTheme="majorHAnsi"/>
      </w:rPr>
    </w:tblStylePr>
    <w:tblStylePr w:type="band1Vert">
      <w:rPr>
        <w:rFonts w:asciiTheme="majorHAnsi" w:hAnsiTheme="majorHAnsi"/>
      </w:rPr>
    </w:tblStylePr>
    <w:tblStylePr w:type="band2Vert">
      <w:rPr>
        <w:rFonts w:asciiTheme="majorHAnsi" w:hAnsiTheme="majorHAnsi"/>
      </w:rPr>
    </w:tblStylePr>
    <w:tblStylePr w:type="band1Horz">
      <w:rPr>
        <w:rFonts w:asciiTheme="majorHAnsi" w:hAnsiTheme="majorHAnsi"/>
      </w:rPr>
    </w:tblStylePr>
  </w:style>
  <w:style w:type="table" w:styleId="Tabellrutnt">
    <w:name w:val="Table Grid"/>
    <w:basedOn w:val="Normaltabell"/>
    <w:uiPriority w:val="39"/>
    <w:rsid w:val="00354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nehll1">
    <w:name w:val="toc 1"/>
    <w:basedOn w:val="Normal"/>
    <w:next w:val="Normal"/>
    <w:uiPriority w:val="39"/>
    <w:semiHidden/>
    <w:rsid w:val="00913EF4"/>
    <w:pPr>
      <w:tabs>
        <w:tab w:val="right" w:leader="dot" w:pos="7258"/>
      </w:tabs>
      <w:spacing w:before="560" w:after="240" w:line="300" w:lineRule="atLeast"/>
      <w:ind w:left="482" w:right="284" w:hanging="482"/>
    </w:pPr>
    <w:rPr>
      <w:sz w:val="20"/>
    </w:rPr>
  </w:style>
  <w:style w:type="paragraph" w:styleId="Innehll2">
    <w:name w:val="toc 2"/>
    <w:basedOn w:val="Normal"/>
    <w:next w:val="Normal"/>
    <w:uiPriority w:val="39"/>
    <w:semiHidden/>
    <w:rsid w:val="00913EF4"/>
    <w:pPr>
      <w:tabs>
        <w:tab w:val="left" w:pos="1134"/>
        <w:tab w:val="right" w:pos="7258"/>
      </w:tabs>
      <w:spacing w:line="300" w:lineRule="atLeast"/>
      <w:ind w:left="1134" w:right="284" w:hanging="652"/>
    </w:pPr>
    <w:rPr>
      <w:i/>
      <w:sz w:val="20"/>
    </w:rPr>
  </w:style>
  <w:style w:type="paragraph" w:styleId="Innehll3">
    <w:name w:val="toc 3"/>
    <w:basedOn w:val="Normal"/>
    <w:next w:val="Normal"/>
    <w:uiPriority w:val="39"/>
    <w:semiHidden/>
    <w:rsid w:val="00913EF4"/>
    <w:pPr>
      <w:tabs>
        <w:tab w:val="left" w:pos="1134"/>
        <w:tab w:val="right" w:pos="7258"/>
      </w:tabs>
      <w:spacing w:line="300" w:lineRule="atLeast"/>
      <w:ind w:left="1871" w:right="284" w:hanging="737"/>
    </w:pPr>
    <w:rPr>
      <w:i/>
      <w:sz w:val="20"/>
    </w:rPr>
  </w:style>
  <w:style w:type="paragraph" w:styleId="Innehll4">
    <w:name w:val="toc 4"/>
    <w:basedOn w:val="Normal"/>
    <w:next w:val="Normal"/>
    <w:autoRedefine/>
    <w:uiPriority w:val="39"/>
    <w:semiHidden/>
    <w:rsid w:val="00913EF4"/>
    <w:pPr>
      <w:ind w:left="1871"/>
    </w:pPr>
    <w:rPr>
      <w:i/>
      <w:sz w:val="20"/>
    </w:rPr>
  </w:style>
  <w:style w:type="paragraph" w:styleId="Innehll5">
    <w:name w:val="toc 5"/>
    <w:basedOn w:val="Normal"/>
    <w:next w:val="Normal"/>
    <w:autoRedefine/>
    <w:uiPriority w:val="39"/>
    <w:semiHidden/>
    <w:rsid w:val="00913EF4"/>
    <w:pPr>
      <w:ind w:left="2041"/>
    </w:pPr>
    <w:rPr>
      <w:i/>
      <w:sz w:val="20"/>
    </w:rPr>
  </w:style>
  <w:style w:type="paragraph" w:styleId="Innehll6">
    <w:name w:val="toc 6"/>
    <w:basedOn w:val="Normal"/>
    <w:next w:val="Normal"/>
    <w:autoRedefine/>
    <w:uiPriority w:val="39"/>
    <w:semiHidden/>
    <w:rsid w:val="00913EF4"/>
    <w:pPr>
      <w:ind w:left="2211"/>
    </w:pPr>
    <w:rPr>
      <w:i/>
      <w:sz w:val="20"/>
    </w:rPr>
  </w:style>
  <w:style w:type="paragraph" w:styleId="Innehll7">
    <w:name w:val="toc 7"/>
    <w:basedOn w:val="Normal"/>
    <w:next w:val="Normal"/>
    <w:autoRedefine/>
    <w:uiPriority w:val="39"/>
    <w:semiHidden/>
    <w:rsid w:val="00913EF4"/>
    <w:pPr>
      <w:ind w:left="2381"/>
    </w:pPr>
    <w:rPr>
      <w:i/>
      <w:sz w:val="20"/>
    </w:rPr>
  </w:style>
  <w:style w:type="paragraph" w:styleId="Innehll8">
    <w:name w:val="toc 8"/>
    <w:basedOn w:val="Normal"/>
    <w:next w:val="Normal"/>
    <w:autoRedefine/>
    <w:uiPriority w:val="39"/>
    <w:semiHidden/>
    <w:rsid w:val="00913EF4"/>
    <w:pPr>
      <w:ind w:left="2552"/>
    </w:pPr>
    <w:rPr>
      <w:i/>
      <w:sz w:val="20"/>
    </w:rPr>
  </w:style>
  <w:style w:type="paragraph" w:styleId="Innehll9">
    <w:name w:val="toc 9"/>
    <w:basedOn w:val="Normal"/>
    <w:next w:val="Normal"/>
    <w:autoRedefine/>
    <w:uiPriority w:val="39"/>
    <w:semiHidden/>
    <w:rsid w:val="00913EF4"/>
    <w:pPr>
      <w:ind w:left="2722"/>
    </w:pPr>
    <w:rPr>
      <w:i/>
      <w:sz w:val="20"/>
    </w:rPr>
  </w:style>
  <w:style w:type="paragraph" w:customStyle="1" w:styleId="Ledtext">
    <w:name w:val="Ledtext"/>
    <w:basedOn w:val="Normal"/>
    <w:semiHidden/>
    <w:rsid w:val="001C0C1E"/>
    <w:rPr>
      <w:rFonts w:asciiTheme="majorHAnsi" w:hAnsiTheme="majorHAnsi"/>
      <w:caps/>
      <w:color w:val="565656" w:themeColor="text2"/>
      <w:sz w:val="13"/>
    </w:rPr>
  </w:style>
  <w:style w:type="paragraph" w:customStyle="1" w:styleId="Instruktionstext">
    <w:name w:val="Instruktionstext"/>
    <w:basedOn w:val="Brdtext"/>
    <w:semiHidden/>
    <w:rsid w:val="009C1ABB"/>
    <w:rPr>
      <w:i/>
      <w:vanish/>
      <w:color w:val="0000FF"/>
    </w:rPr>
  </w:style>
  <w:style w:type="paragraph" w:customStyle="1" w:styleId="Hlsningsfras">
    <w:name w:val="Hälsningsfras"/>
    <w:basedOn w:val="Brdtext"/>
    <w:next w:val="Brdtext"/>
    <w:semiHidden/>
    <w:rsid w:val="009C1ABB"/>
    <w:pPr>
      <w:keepLines/>
    </w:pPr>
  </w:style>
  <w:style w:type="character" w:styleId="Fotnotsreferens">
    <w:name w:val="footnote reference"/>
    <w:basedOn w:val="Standardstycketeckensnitt"/>
    <w:uiPriority w:val="99"/>
    <w:semiHidden/>
    <w:rsid w:val="00456487"/>
    <w:rPr>
      <w:rFonts w:asciiTheme="minorHAnsi" w:hAnsiTheme="minorHAnsi"/>
      <w:vertAlign w:val="superscript"/>
    </w:rPr>
  </w:style>
  <w:style w:type="paragraph" w:styleId="Fotnotstext">
    <w:name w:val="footnote text"/>
    <w:basedOn w:val="Normal"/>
    <w:link w:val="FotnotstextChar"/>
    <w:uiPriority w:val="99"/>
    <w:semiHidden/>
    <w:rsid w:val="007D262C"/>
    <w:pPr>
      <w:spacing w:after="40"/>
    </w:pPr>
    <w:rPr>
      <w:sz w:val="13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7D262C"/>
    <w:rPr>
      <w:sz w:val="13"/>
      <w:szCs w:val="20"/>
    </w:rPr>
  </w:style>
  <w:style w:type="paragraph" w:styleId="Sidfot">
    <w:name w:val="footer"/>
    <w:basedOn w:val="Normal"/>
    <w:link w:val="SidfotChar"/>
    <w:semiHidden/>
    <w:rsid w:val="0029131B"/>
    <w:rPr>
      <w:sz w:val="20"/>
    </w:rPr>
  </w:style>
  <w:style w:type="character" w:customStyle="1" w:styleId="SidfotChar">
    <w:name w:val="Sidfot Char"/>
    <w:basedOn w:val="Standardstycketeckensnitt"/>
    <w:link w:val="Sidfot"/>
    <w:semiHidden/>
    <w:rsid w:val="0029131B"/>
    <w:rPr>
      <w:sz w:val="20"/>
    </w:rPr>
  </w:style>
  <w:style w:type="paragraph" w:customStyle="1" w:styleId="Dokumentkategori">
    <w:name w:val="Dokumentkategori"/>
    <w:basedOn w:val="Handlggare"/>
    <w:semiHidden/>
    <w:rsid w:val="002217C7"/>
    <w:rPr>
      <w:rFonts w:asciiTheme="majorHAnsi" w:hAnsiTheme="majorHAnsi"/>
      <w:caps/>
      <w:color w:val="565656" w:themeColor="text2"/>
      <w:spacing w:val="10"/>
      <w:sz w:val="22"/>
    </w:rPr>
  </w:style>
  <w:style w:type="paragraph" w:customStyle="1" w:styleId="Sidfotstext">
    <w:name w:val="Sidfotstext"/>
    <w:basedOn w:val="Sidfot"/>
    <w:semiHidden/>
    <w:rsid w:val="00202A3A"/>
    <w:pPr>
      <w:spacing w:line="190" w:lineRule="atLeast"/>
    </w:pPr>
    <w:rPr>
      <w:rFonts w:asciiTheme="majorHAnsi" w:hAnsiTheme="majorHAnsi"/>
      <w:caps/>
      <w:spacing w:val="10"/>
      <w:sz w:val="16"/>
    </w:rPr>
  </w:style>
  <w:style w:type="paragraph" w:customStyle="1" w:styleId="Sidhuvudstext">
    <w:name w:val="Sidhuvudstext"/>
    <w:basedOn w:val="Normal"/>
    <w:semiHidden/>
    <w:rsid w:val="00202A3A"/>
  </w:style>
  <w:style w:type="paragraph" w:customStyle="1" w:styleId="Mall-Id">
    <w:name w:val="Mall-Id"/>
    <w:basedOn w:val="Normal"/>
    <w:semiHidden/>
    <w:rsid w:val="00DA6975"/>
    <w:rPr>
      <w:rFonts w:asciiTheme="majorHAnsi" w:hAnsiTheme="majorHAnsi"/>
      <w:color w:val="A5A5A5"/>
      <w:sz w:val="10"/>
    </w:rPr>
  </w:style>
  <w:style w:type="paragraph" w:styleId="Citat">
    <w:name w:val="Quote"/>
    <w:basedOn w:val="Brdtext"/>
    <w:link w:val="CitatChar"/>
    <w:uiPriority w:val="29"/>
    <w:rsid w:val="0029131B"/>
    <w:pPr>
      <w:ind w:left="425" w:right="851"/>
    </w:pPr>
    <w:rPr>
      <w:i/>
      <w:iCs/>
    </w:rPr>
  </w:style>
  <w:style w:type="character" w:customStyle="1" w:styleId="CitatChar">
    <w:name w:val="Citat Char"/>
    <w:basedOn w:val="Standardstycketeckensnitt"/>
    <w:link w:val="Citat"/>
    <w:uiPriority w:val="29"/>
    <w:rsid w:val="00247C2F"/>
    <w:rPr>
      <w:i/>
      <w:iCs/>
      <w:sz w:val="20"/>
    </w:rPr>
  </w:style>
  <w:style w:type="paragraph" w:styleId="Sidhuvud">
    <w:name w:val="header"/>
    <w:basedOn w:val="Normal"/>
    <w:link w:val="SidhuvudChar"/>
    <w:semiHidden/>
    <w:rsid w:val="0029131B"/>
    <w:rPr>
      <w:sz w:val="20"/>
    </w:rPr>
  </w:style>
  <w:style w:type="character" w:customStyle="1" w:styleId="SidhuvudChar">
    <w:name w:val="Sidhuvud Char"/>
    <w:basedOn w:val="Standardstycketeckensnitt"/>
    <w:link w:val="Sidhuvud"/>
    <w:semiHidden/>
    <w:rsid w:val="0029131B"/>
    <w:rPr>
      <w:sz w:val="20"/>
    </w:rPr>
  </w:style>
  <w:style w:type="paragraph" w:styleId="Beskrivning">
    <w:name w:val="caption"/>
    <w:basedOn w:val="Normal"/>
    <w:next w:val="Normal"/>
    <w:uiPriority w:val="35"/>
    <w:qFormat/>
    <w:rsid w:val="0029131B"/>
    <w:pPr>
      <w:spacing w:before="480" w:after="120"/>
    </w:pPr>
    <w:rPr>
      <w:iCs/>
      <w:sz w:val="16"/>
      <w:szCs w:val="18"/>
    </w:rPr>
  </w:style>
  <w:style w:type="character" w:styleId="Hyperlnk">
    <w:name w:val="Hyperlink"/>
    <w:basedOn w:val="Standardstycketeckensnitt"/>
    <w:uiPriority w:val="99"/>
    <w:semiHidden/>
    <w:rsid w:val="001D2803"/>
    <w:rPr>
      <w:color w:val="1D6684" w:themeColor="hyperlink"/>
      <w:u w:val="single"/>
    </w:rPr>
  </w:style>
  <w:style w:type="paragraph" w:styleId="Figurfrteckning">
    <w:name w:val="table of figures"/>
    <w:basedOn w:val="Normal"/>
    <w:next w:val="Normal"/>
    <w:uiPriority w:val="99"/>
    <w:semiHidden/>
    <w:rsid w:val="00AA245C"/>
    <w:pPr>
      <w:spacing w:after="60"/>
    </w:pPr>
    <w:rPr>
      <w:sz w:val="20"/>
    </w:rPr>
  </w:style>
  <w:style w:type="paragraph" w:customStyle="1" w:styleId="Klla">
    <w:name w:val="Källa"/>
    <w:basedOn w:val="Brdtext"/>
    <w:next w:val="Brdtext"/>
    <w:semiHidden/>
    <w:rsid w:val="0029131B"/>
    <w:pPr>
      <w:spacing w:after="480" w:line="240" w:lineRule="atLeast"/>
    </w:pPr>
    <w:rPr>
      <w:noProof/>
      <w:sz w:val="13"/>
      <w:lang w:val="en-US"/>
    </w:rPr>
  </w:style>
  <w:style w:type="paragraph" w:customStyle="1" w:styleId="Referenser">
    <w:name w:val="Referenser"/>
    <w:basedOn w:val="Brdtext"/>
    <w:semiHidden/>
    <w:rsid w:val="0029131B"/>
    <w:pPr>
      <w:spacing w:after="120" w:line="270" w:lineRule="atLeast"/>
      <w:ind w:left="425" w:hanging="425"/>
    </w:pPr>
  </w:style>
  <w:style w:type="paragraph" w:styleId="Numreradlista">
    <w:name w:val="List Number"/>
    <w:basedOn w:val="Normal"/>
    <w:qFormat/>
    <w:rsid w:val="006D1ED6"/>
    <w:pPr>
      <w:numPr>
        <w:numId w:val="12"/>
      </w:numPr>
      <w:spacing w:after="120" w:line="300" w:lineRule="atLeast"/>
    </w:pPr>
    <w:rPr>
      <w:sz w:val="20"/>
    </w:rPr>
  </w:style>
  <w:style w:type="table" w:customStyle="1" w:styleId="SvKTabellformat">
    <w:name w:val="SvK_Tabellformat"/>
    <w:basedOn w:val="Normaltabell"/>
    <w:rsid w:val="00CE3C22"/>
    <w:pPr>
      <w:spacing w:after="0" w:line="240" w:lineRule="auto"/>
    </w:pPr>
    <w:rPr>
      <w:rFonts w:asciiTheme="majorHAnsi" w:eastAsia="Times New Roman" w:hAnsiTheme="majorHAnsi" w:cs="Times New Roman"/>
      <w:sz w:val="16"/>
      <w:szCs w:val="20"/>
      <w:lang w:eastAsia="sv-SE"/>
    </w:rPr>
    <w:tblPr>
      <w:tblStyleColBandSize w:val="1"/>
      <w:tblBorders>
        <w:left w:val="single" w:sz="48" w:space="0" w:color="FFFFFF"/>
        <w:right w:val="single" w:sz="48" w:space="0" w:color="FFFFFF"/>
        <w:insideH w:val="single" w:sz="2" w:space="0" w:color="auto"/>
        <w:insideV w:val="single" w:sz="48" w:space="0" w:color="FFFFFF"/>
      </w:tblBorders>
      <w:tblCellMar>
        <w:top w:w="142" w:type="dxa"/>
        <w:left w:w="0" w:type="dxa"/>
        <w:bottom w:w="57" w:type="dxa"/>
        <w:right w:w="0" w:type="dxa"/>
      </w:tblCellMar>
    </w:tblPr>
    <w:trPr>
      <w:cantSplit/>
    </w:trPr>
    <w:tblStylePr w:type="firstRow">
      <w:pPr>
        <w:keepNext/>
        <w:wordWrap/>
      </w:pPr>
      <w:tblPr/>
      <w:trPr>
        <w:cantSplit w:val="0"/>
        <w:tblHeader/>
      </w:trPr>
      <w:tcPr>
        <w:tcBorders>
          <w:bottom w:val="single" w:sz="18" w:space="0" w:color="000000"/>
        </w:tcBorders>
      </w:tcPr>
    </w:tblStylePr>
  </w:style>
  <w:style w:type="paragraph" w:customStyle="1" w:styleId="Handlggare">
    <w:name w:val="Handläggare"/>
    <w:basedOn w:val="Normal"/>
    <w:semiHidden/>
    <w:qFormat/>
    <w:rsid w:val="002217C7"/>
  </w:style>
  <w:style w:type="paragraph" w:customStyle="1" w:styleId="Ifyllnadstext">
    <w:name w:val="Ifyllnadstext"/>
    <w:basedOn w:val="Brdtext"/>
    <w:semiHidden/>
    <w:qFormat/>
    <w:rsid w:val="001F7124"/>
    <w:pPr>
      <w:spacing w:after="60" w:line="260" w:lineRule="atLeast"/>
    </w:pPr>
  </w:style>
  <w:style w:type="paragraph" w:customStyle="1" w:styleId="Namnfrtydligande">
    <w:name w:val="Namnförtydligande"/>
    <w:basedOn w:val="Normal"/>
    <w:semiHidden/>
    <w:qFormat/>
    <w:rsid w:val="002470D9"/>
  </w:style>
  <w:style w:type="character" w:styleId="Platshllartext">
    <w:name w:val="Placeholder Text"/>
    <w:basedOn w:val="Standardstycketeckensnitt"/>
    <w:uiPriority w:val="99"/>
    <w:semiHidden/>
    <w:rsid w:val="005D0060"/>
    <w:rPr>
      <w:color w:val="FF0000"/>
    </w:rPr>
  </w:style>
  <w:style w:type="paragraph" w:customStyle="1" w:styleId="Bilagerubrik1">
    <w:name w:val="Bilagerubrik 1"/>
    <w:basedOn w:val="Rubrik1"/>
    <w:next w:val="Brdtext"/>
    <w:qFormat/>
    <w:rsid w:val="005D0060"/>
    <w:rPr>
      <w:rFonts w:eastAsia="Times New Roman" w:cs="Arial"/>
      <w:bCs/>
      <w:szCs w:val="28"/>
    </w:rPr>
  </w:style>
  <w:style w:type="paragraph" w:customStyle="1" w:styleId="Bilagerubrik2">
    <w:name w:val="Bilagerubrik 2"/>
    <w:basedOn w:val="Normal"/>
    <w:next w:val="Brdtext"/>
    <w:qFormat/>
    <w:rsid w:val="00676EBE"/>
    <w:pPr>
      <w:keepNext/>
      <w:keepLines/>
      <w:spacing w:before="240"/>
    </w:pPr>
    <w:rPr>
      <w:sz w:val="28"/>
    </w:rPr>
  </w:style>
  <w:style w:type="paragraph" w:customStyle="1" w:styleId="Bilagerubrik3">
    <w:name w:val="Bilagerubrik 3"/>
    <w:basedOn w:val="Normal"/>
    <w:next w:val="Brdtext"/>
    <w:qFormat/>
    <w:rsid w:val="00676EBE"/>
    <w:pPr>
      <w:keepNext/>
      <w:keepLines/>
      <w:spacing w:before="240"/>
    </w:pPr>
    <w:rPr>
      <w:sz w:val="24"/>
    </w:rPr>
  </w:style>
  <w:style w:type="paragraph" w:customStyle="1" w:styleId="Orubrik">
    <w:name w:val="Orubrik"/>
    <w:basedOn w:val="Normal"/>
    <w:semiHidden/>
    <w:rsid w:val="00C35330"/>
    <w:rPr>
      <w:rFonts w:cs="Arial"/>
      <w:sz w:val="28"/>
      <w:szCs w:val="28"/>
    </w:rPr>
  </w:style>
  <w:style w:type="paragraph" w:customStyle="1" w:styleId="RubInnehll">
    <w:name w:val="Rub Innehåll"/>
    <w:basedOn w:val="Normal"/>
    <w:semiHidden/>
    <w:rsid w:val="00102292"/>
    <w:rPr>
      <w:rFonts w:cs="Arial"/>
      <w:sz w:val="28"/>
      <w:szCs w:val="28"/>
    </w:rPr>
  </w:style>
  <w:style w:type="character" w:styleId="Sidnummer">
    <w:name w:val="page number"/>
    <w:semiHidden/>
    <w:rsid w:val="00102292"/>
    <w:rPr>
      <w:rFonts w:ascii="Georgia" w:hAnsi="Georgia"/>
      <w:sz w:val="19"/>
    </w:rPr>
  </w:style>
  <w:style w:type="paragraph" w:customStyle="1" w:styleId="Undertitel">
    <w:name w:val="Undertitel"/>
    <w:basedOn w:val="Normal"/>
    <w:next w:val="Normal"/>
    <w:semiHidden/>
    <w:rsid w:val="00102292"/>
    <w:pPr>
      <w:spacing w:after="560" w:line="400" w:lineRule="atLeast"/>
    </w:pPr>
    <w:rPr>
      <w:rFonts w:cs="Arial"/>
      <w:spacing w:val="10"/>
      <w:sz w:val="28"/>
      <w:szCs w:val="32"/>
    </w:rPr>
  </w:style>
  <w:style w:type="paragraph" w:styleId="Numreradlista4">
    <w:name w:val="List Number 4"/>
    <w:basedOn w:val="Normal"/>
    <w:semiHidden/>
    <w:rsid w:val="00102292"/>
    <w:pPr>
      <w:numPr>
        <w:numId w:val="14"/>
      </w:numPr>
    </w:pPr>
  </w:style>
  <w:style w:type="paragraph" w:styleId="Punktlista2">
    <w:name w:val="List Bullet 2"/>
    <w:basedOn w:val="Normal"/>
    <w:semiHidden/>
    <w:rsid w:val="00102292"/>
    <w:pPr>
      <w:tabs>
        <w:tab w:val="num" w:pos="643"/>
      </w:tabs>
      <w:ind w:left="643" w:hanging="360"/>
    </w:pPr>
  </w:style>
  <w:style w:type="character" w:customStyle="1" w:styleId="unicode">
    <w:name w:val="unicode"/>
    <w:basedOn w:val="Standardstycketeckensnitt"/>
    <w:rsid w:val="00102292"/>
  </w:style>
  <w:style w:type="character" w:styleId="Kommentarsreferens">
    <w:name w:val="annotation reference"/>
    <w:uiPriority w:val="99"/>
    <w:unhideWhenUsed/>
    <w:rsid w:val="00102292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102292"/>
    <w:rPr>
      <w:rFonts w:eastAsia="Georgia"/>
      <w:sz w:val="20"/>
      <w:szCs w:val="20"/>
      <w:lang w:val="en-GB" w:eastAsia="en-US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102292"/>
    <w:rPr>
      <w:rFonts w:ascii="Georgia" w:eastAsia="Georgia" w:hAnsi="Georgia" w:cs="Times New Roman"/>
      <w:sz w:val="20"/>
      <w:szCs w:val="20"/>
      <w:lang w:val="en-GB"/>
    </w:rPr>
  </w:style>
  <w:style w:type="paragraph" w:styleId="Liststycke">
    <w:name w:val="List Paragraph"/>
    <w:basedOn w:val="Normal"/>
    <w:uiPriority w:val="34"/>
    <w:qFormat/>
    <w:rsid w:val="00102292"/>
    <w:pPr>
      <w:ind w:left="720"/>
      <w:contextualSpacing/>
    </w:p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D314A"/>
    <w:rPr>
      <w:rFonts w:eastAsia="Times New Roman"/>
      <w:b/>
      <w:bCs/>
      <w:lang w:val="sv-SE" w:eastAsia="sv-SE"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D314A"/>
    <w:rPr>
      <w:rFonts w:ascii="Georgia" w:eastAsia="Times New Roman" w:hAnsi="Georgia" w:cs="Times New Roman"/>
      <w:b/>
      <w:bCs/>
      <w:sz w:val="20"/>
      <w:szCs w:val="20"/>
      <w:lang w:val="en-GB" w:eastAsia="sv-SE"/>
    </w:rPr>
  </w:style>
  <w:style w:type="paragraph" w:customStyle="1" w:styleId="Default">
    <w:name w:val="Default"/>
    <w:rsid w:val="00DD4C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styleId="111111">
    <w:name w:val="Outline List 2"/>
    <w:basedOn w:val="Ingenlista"/>
    <w:semiHidden/>
    <w:unhideWhenUsed/>
    <w:rsid w:val="00A133D3"/>
    <w:pPr>
      <w:numPr>
        <w:numId w:val="2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6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https://www.svk.se/aktorsportalen/bidra-med-reserver/forkvalificering/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SvK">
  <a:themeElements>
    <a:clrScheme name="SvK">
      <a:dk1>
        <a:srgbClr val="333333"/>
      </a:dk1>
      <a:lt1>
        <a:srgbClr val="FFFFFF"/>
      </a:lt1>
      <a:dk2>
        <a:srgbClr val="565656"/>
      </a:dk2>
      <a:lt2>
        <a:srgbClr val="959595"/>
      </a:lt2>
      <a:accent1>
        <a:srgbClr val="1D599B"/>
      </a:accent1>
      <a:accent2>
        <a:srgbClr val="497633"/>
      </a:accent2>
      <a:accent3>
        <a:srgbClr val="5E256C"/>
      </a:accent3>
      <a:accent4>
        <a:srgbClr val="CA8617"/>
      </a:accent4>
      <a:accent5>
        <a:srgbClr val="B01746"/>
      </a:accent5>
      <a:accent6>
        <a:srgbClr val="363636"/>
      </a:accent6>
      <a:hlink>
        <a:srgbClr val="1D6684"/>
      </a:hlink>
      <a:folHlink>
        <a:srgbClr val="003F55"/>
      </a:folHlink>
    </a:clrScheme>
    <a:fontScheme name="SvK">
      <a:majorFont>
        <a:latin typeface="Arial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FEC907-3354-410E-9CFE-D18DF3775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8</Pages>
  <Words>1576</Words>
  <Characters>8356</Characters>
  <Application>Microsoft Office Word</Application>
  <DocSecurity>0</DocSecurity>
  <Lines>69</Lines>
  <Paragraphs>19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Svenska kraftnät</Company>
  <LinksUpToDate>false</LinksUpToDate>
  <CharactersWithSpaces>9913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Ekestam, Henrik</dc:creator>
  <cp:keywords/>
  <dc:description/>
  <cp:lastModifiedBy>Ahlfors, Charlotta</cp:lastModifiedBy>
  <cp:revision>15</cp:revision>
  <dcterms:created xsi:type="dcterms:W3CDTF">2024-04-18T08:15:00Z</dcterms:created>
  <dcterms:modified xsi:type="dcterms:W3CDTF">2025-03-03T11:05:00Z</dcterms:modified>
</cp:coreProperties>
</file>