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9D7DE" w14:textId="146F0AB2" w:rsidR="00102292" w:rsidRPr="00077E01" w:rsidRDefault="00102292" w:rsidP="00102292">
      <w:pPr>
        <w:pStyle w:val="Brdtext"/>
      </w:pPr>
    </w:p>
    <w:p w14:paraId="39DB22EF" w14:textId="77777777" w:rsidR="00102292" w:rsidRPr="00077E01" w:rsidRDefault="00102292" w:rsidP="00102292">
      <w:pPr>
        <w:pStyle w:val="Brdtext"/>
      </w:pPr>
      <w:r w:rsidRPr="00077E01">
        <w:br/>
      </w:r>
    </w:p>
    <w:p w14:paraId="26D80903" w14:textId="77777777" w:rsidR="00102292" w:rsidRPr="00077E01" w:rsidRDefault="00102292" w:rsidP="00102292">
      <w:pPr>
        <w:pStyle w:val="Brdtext"/>
      </w:pPr>
    </w:p>
    <w:p w14:paraId="48DE77EE" w14:textId="77777777" w:rsidR="00102292" w:rsidRPr="00077E01" w:rsidRDefault="00102292" w:rsidP="00102292">
      <w:pPr>
        <w:pStyle w:val="Brdtext"/>
      </w:pPr>
    </w:p>
    <w:p w14:paraId="19ABB603" w14:textId="77777777" w:rsidR="00102292" w:rsidRPr="00077E01" w:rsidRDefault="00102292" w:rsidP="00102292">
      <w:pPr>
        <w:pStyle w:val="Brdtext"/>
      </w:pPr>
    </w:p>
    <w:p w14:paraId="6B724EAE" w14:textId="77777777" w:rsidR="00102292" w:rsidRPr="00077E01" w:rsidRDefault="00102292" w:rsidP="00102292">
      <w:pPr>
        <w:pStyle w:val="Brdtext"/>
      </w:pPr>
    </w:p>
    <w:p w14:paraId="1B414EE4" w14:textId="454D72F3" w:rsidR="00102292" w:rsidRPr="00077E01" w:rsidRDefault="00102292" w:rsidP="00102292">
      <w:pPr>
        <w:pStyle w:val="Undertitel"/>
        <w:suppressAutoHyphens/>
        <w:rPr>
          <w:sz w:val="52"/>
          <w:szCs w:val="48"/>
        </w:rPr>
      </w:pPr>
      <w:r>
        <w:rPr>
          <w:sz w:val="52"/>
          <w:szCs w:val="48"/>
        </w:rPr>
        <w:t>Testprogram</w:t>
      </w:r>
      <w:r w:rsidR="00E61217">
        <w:rPr>
          <w:sz w:val="52"/>
          <w:szCs w:val="48"/>
        </w:rPr>
        <w:t xml:space="preserve"> för a</w:t>
      </w:r>
      <w:r w:rsidRPr="00077E01">
        <w:rPr>
          <w:sz w:val="52"/>
          <w:szCs w:val="48"/>
        </w:rPr>
        <w:t>FRR</w:t>
      </w:r>
    </w:p>
    <w:p w14:paraId="337C4709" w14:textId="160DE998" w:rsidR="00102292" w:rsidRPr="00443810" w:rsidRDefault="00102292" w:rsidP="00102292">
      <w:pPr>
        <w:autoSpaceDE w:val="0"/>
        <w:autoSpaceDN w:val="0"/>
        <w:spacing w:before="40" w:after="40"/>
        <w:rPr>
          <w:sz w:val="20"/>
        </w:rPr>
      </w:pPr>
      <w:r w:rsidRPr="00443810">
        <w:rPr>
          <w:sz w:val="20"/>
        </w:rPr>
        <w:t xml:space="preserve">Utgåva: </w:t>
      </w:r>
      <w:r w:rsidR="00B760C0">
        <w:rPr>
          <w:sz w:val="20"/>
        </w:rPr>
        <w:t>3.</w:t>
      </w:r>
      <w:r w:rsidR="005C62AB">
        <w:rPr>
          <w:sz w:val="20"/>
        </w:rPr>
        <w:t>1</w:t>
      </w:r>
    </w:p>
    <w:p w14:paraId="41BE05AD" w14:textId="23F189E6" w:rsidR="00102292" w:rsidRPr="00077E01" w:rsidRDefault="00102292" w:rsidP="00102292">
      <w:pPr>
        <w:autoSpaceDE w:val="0"/>
        <w:autoSpaceDN w:val="0"/>
        <w:spacing w:before="40" w:after="40"/>
      </w:pPr>
      <w:r w:rsidRPr="00443810">
        <w:rPr>
          <w:sz w:val="20"/>
        </w:rPr>
        <w:t>Gäller fr.o.m.:</w:t>
      </w:r>
      <w:r w:rsidRPr="00443810">
        <w:rPr>
          <w:rFonts w:ascii="Times New Roman" w:hAnsi="Times New Roman"/>
          <w:sz w:val="24"/>
        </w:rPr>
        <w:t xml:space="preserve"> </w:t>
      </w:r>
      <w:r w:rsidR="00B760C0">
        <w:rPr>
          <w:rStyle w:val="unicode"/>
          <w:rFonts w:ascii="Cambria Math" w:hAnsi="Cambria Math" w:cs="Cambria Math"/>
          <w:sz w:val="20"/>
        </w:rPr>
        <w:t>202</w:t>
      </w:r>
      <w:r w:rsidR="005C62AB">
        <w:rPr>
          <w:rStyle w:val="unicode"/>
          <w:rFonts w:ascii="Cambria Math" w:hAnsi="Cambria Math" w:cs="Cambria Math"/>
          <w:sz w:val="20"/>
        </w:rPr>
        <w:t>4</w:t>
      </w:r>
      <w:r w:rsidR="00B760C0">
        <w:rPr>
          <w:rStyle w:val="unicode"/>
          <w:rFonts w:ascii="Cambria Math" w:hAnsi="Cambria Math" w:cs="Cambria Math"/>
          <w:sz w:val="20"/>
        </w:rPr>
        <w:t>-</w:t>
      </w:r>
      <w:r w:rsidR="005C62AB">
        <w:rPr>
          <w:rStyle w:val="unicode"/>
          <w:rFonts w:ascii="Cambria Math" w:hAnsi="Cambria Math" w:cs="Cambria Math"/>
          <w:sz w:val="20"/>
        </w:rPr>
        <w:t>05</w:t>
      </w:r>
      <w:r w:rsidR="00B760C0">
        <w:rPr>
          <w:rStyle w:val="unicode"/>
          <w:rFonts w:ascii="Cambria Math" w:hAnsi="Cambria Math" w:cs="Cambria Math"/>
          <w:sz w:val="20"/>
        </w:rPr>
        <w:t>-0</w:t>
      </w:r>
      <w:r w:rsidR="005C62AB">
        <w:rPr>
          <w:rStyle w:val="unicode"/>
          <w:rFonts w:ascii="Cambria Math" w:hAnsi="Cambria Math" w:cs="Cambria Math"/>
          <w:sz w:val="20"/>
        </w:rPr>
        <w:t>1</w:t>
      </w:r>
    </w:p>
    <w:p w14:paraId="31EC9CC8" w14:textId="77777777" w:rsidR="00102292" w:rsidRPr="00077E01" w:rsidRDefault="00102292" w:rsidP="00102292">
      <w:pPr>
        <w:pStyle w:val="Brdtext"/>
      </w:pPr>
    </w:p>
    <w:p w14:paraId="5D4783D0" w14:textId="77777777" w:rsidR="00102292" w:rsidRPr="00077E01" w:rsidRDefault="00102292" w:rsidP="00102292">
      <w:pPr>
        <w:pStyle w:val="Brdtext"/>
      </w:pPr>
    </w:p>
    <w:p w14:paraId="1B98B6A1" w14:textId="77777777" w:rsidR="00102292" w:rsidRPr="00077E01" w:rsidRDefault="00102292" w:rsidP="00102292">
      <w:pPr>
        <w:pStyle w:val="RubInnehll"/>
        <w:sectPr w:rsidR="00102292" w:rsidRPr="00077E01" w:rsidSect="00102292">
          <w:headerReference w:type="even" r:id="rId8"/>
          <w:headerReference w:type="default" r:id="rId9"/>
          <w:footerReference w:type="even" r:id="rId10"/>
          <w:footerReference w:type="default" r:id="rId11"/>
          <w:headerReference w:type="first" r:id="rId12"/>
          <w:footerReference w:type="first" r:id="rId13"/>
          <w:pgSz w:w="11906" w:h="16838" w:code="9"/>
          <w:pgMar w:top="2586" w:right="2268" w:bottom="1418" w:left="2268" w:header="567" w:footer="567" w:gutter="0"/>
          <w:cols w:space="708"/>
          <w:titlePg/>
          <w:docGrid w:linePitch="360"/>
        </w:sectPr>
      </w:pPr>
    </w:p>
    <w:p w14:paraId="4CA2FFD3" w14:textId="77777777" w:rsidR="00102292" w:rsidRPr="00077E01" w:rsidRDefault="00102292" w:rsidP="00102292">
      <w:pPr>
        <w:pStyle w:val="Rubrik1"/>
        <w:ind w:left="737" w:hanging="737"/>
      </w:pPr>
      <w:r w:rsidRPr="00077E01">
        <w:lastRenderedPageBreak/>
        <w:t>Inledning</w:t>
      </w:r>
    </w:p>
    <w:p w14:paraId="243D2A7B" w14:textId="762A1EC9" w:rsidR="00102292" w:rsidRDefault="00102292" w:rsidP="00102292">
      <w:pPr>
        <w:pStyle w:val="Brdtext"/>
        <w:suppressAutoHyphens/>
      </w:pPr>
      <w:r w:rsidRPr="00077E01">
        <w:t xml:space="preserve">Detta dokument beskriver de </w:t>
      </w:r>
      <w:r>
        <w:t>tester</w:t>
      </w:r>
      <w:r w:rsidRPr="00077E01">
        <w:t xml:space="preserve"> som erfordras för att verifiera att enheter </w:t>
      </w:r>
      <w:r w:rsidR="00862B38">
        <w:t xml:space="preserve">eller grupper </w:t>
      </w:r>
      <w:r w:rsidRPr="00077E01">
        <w:t>som tillhandahåller</w:t>
      </w:r>
      <w:r w:rsidR="00E61217">
        <w:t xml:space="preserve"> a</w:t>
      </w:r>
      <w:r>
        <w:t>FRR</w:t>
      </w:r>
      <w:r w:rsidRPr="00077E01">
        <w:t xml:space="preserve"> uppfyller ställda krav. Detta dokument fungerar också som en mall för </w:t>
      </w:r>
      <w:r>
        <w:t>testprogram</w:t>
      </w:r>
      <w:r w:rsidRPr="00077E01">
        <w:t>.</w:t>
      </w:r>
    </w:p>
    <w:p w14:paraId="59936894" w14:textId="77777777" w:rsidR="00102292" w:rsidRDefault="00102292" w:rsidP="00102292">
      <w:pPr>
        <w:rPr>
          <w:sz w:val="20"/>
        </w:rPr>
      </w:pPr>
      <w:r>
        <w:br w:type="page"/>
      </w:r>
    </w:p>
    <w:p w14:paraId="71281B16" w14:textId="43D1384C" w:rsidR="005E09D9" w:rsidRDefault="005E09D9" w:rsidP="00102292">
      <w:pPr>
        <w:pStyle w:val="Rubrik1"/>
        <w:numPr>
          <w:ilvl w:val="0"/>
          <w:numId w:val="15"/>
        </w:numPr>
      </w:pPr>
      <w:r>
        <w:lastRenderedPageBreak/>
        <w:t xml:space="preserve">Sammanfattning av tekniska krav aFRR </w:t>
      </w:r>
    </w:p>
    <w:p w14:paraId="1A6A90BC" w14:textId="7D3FDB3B" w:rsidR="00C430C8" w:rsidRDefault="00C430C8" w:rsidP="00C430C8">
      <w:pPr>
        <w:pStyle w:val="Brdtext"/>
      </w:pPr>
      <w:r w:rsidRPr="006E2A2F">
        <w:t>För en</w:t>
      </w:r>
      <w:r w:rsidR="00522364">
        <w:t xml:space="preserve"> </w:t>
      </w:r>
      <w:r w:rsidR="00D94FC7">
        <w:t>fullständig</w:t>
      </w:r>
      <w:r w:rsidR="00D94FC7" w:rsidRPr="006E2A2F">
        <w:t xml:space="preserve"> </w:t>
      </w:r>
      <w:r w:rsidRPr="006E2A2F">
        <w:t>genomgång av d</w:t>
      </w:r>
      <w:r>
        <w:t xml:space="preserve">e tekniska kraven hänvisas till ”Approval Process for delivery of Frequency Restoration Reserves to Nordic TSOs” version 1 som återfinns på </w:t>
      </w:r>
      <w:hyperlink r:id="rId14" w:history="1">
        <w:r w:rsidR="009D0558" w:rsidRPr="00CD7192">
          <w:rPr>
            <w:rStyle w:val="Hyperlnk"/>
          </w:rPr>
          <w:t>Förkvalificering | Svenska kraftnät (svk.se)</w:t>
        </w:r>
      </w:hyperlink>
      <w:r>
        <w:t xml:space="preserve">. </w:t>
      </w:r>
    </w:p>
    <w:p w14:paraId="59DC94FF" w14:textId="48AE216A" w:rsidR="00C97120" w:rsidRDefault="00C430C8" w:rsidP="007B101A">
      <w:pPr>
        <w:pStyle w:val="Brdtext"/>
      </w:pPr>
      <w:r>
        <w:t>Produkten aFRR har sedan publiceringen av det nordiska dokumentet genomgått förändringar. Informationen i detta dokument kompletterar det nordiska dokumentet, om kraven skiljer sig åt gäller i första hand kraven som de beskrivs i detta dokument.</w:t>
      </w:r>
    </w:p>
    <w:p w14:paraId="51B22E52" w14:textId="1191D9FF" w:rsidR="002C1732" w:rsidRDefault="002C1732" w:rsidP="002C1732">
      <w:pPr>
        <w:pStyle w:val="Rubrik2"/>
      </w:pPr>
      <w:bookmarkStart w:id="0" w:name="_Ref66366745"/>
      <w:r>
        <w:t>1.</w:t>
      </w:r>
      <w:r w:rsidR="007B101A">
        <w:t>1</w:t>
      </w:r>
      <w:r>
        <w:t xml:space="preserve"> </w:t>
      </w:r>
      <w:r w:rsidR="001B6492">
        <w:t xml:space="preserve">Statiskt </w:t>
      </w:r>
      <w:r w:rsidR="0011332C">
        <w:t>fel</w:t>
      </w:r>
      <w:bookmarkEnd w:id="0"/>
    </w:p>
    <w:p w14:paraId="187820CF" w14:textId="7FB815B2" w:rsidR="0011332C" w:rsidRDefault="0011332C" w:rsidP="002C1732">
      <w:pPr>
        <w:pStyle w:val="Brdtext"/>
      </w:pPr>
      <w:r>
        <w:t>Erhållen leverans av aFRR från enheten eller gruppen ska hålla sig inom tillåtet intervall</w:t>
      </w:r>
      <w:r w:rsidR="00F06688">
        <w:t xml:space="preserve"> för statiskt fel</w:t>
      </w:r>
      <w:r w:rsidR="001B6492">
        <w:t xml:space="preserve"> under hela perioden enheten eller gruppen levererar aFRR</w:t>
      </w:r>
      <w:r>
        <w:t xml:space="preserve">. </w:t>
      </w:r>
      <w:r w:rsidR="005776C6">
        <w:t xml:space="preserve">Beroende på </w:t>
      </w:r>
      <w:r w:rsidR="006522C4">
        <w:t>vilken kapacitet aFRR</w:t>
      </w:r>
      <w:r w:rsidR="00EA2A1C">
        <w:t>-</w:t>
      </w:r>
      <w:r w:rsidR="006522C4">
        <w:t>resursen förkvalificera</w:t>
      </w:r>
      <w:r w:rsidR="00443810">
        <w:t>t</w:t>
      </w:r>
      <w:r w:rsidR="006522C4">
        <w:t>s för</w:t>
      </w:r>
      <w:r w:rsidR="005776C6">
        <w:t xml:space="preserve"> varierar tillåtet intervall enligt</w:t>
      </w:r>
      <w:r w:rsidR="00F06688">
        <w:t xml:space="preserve"> </w:t>
      </w:r>
      <w:r w:rsidR="005776C6">
        <w:fldChar w:fldCharType="begin"/>
      </w:r>
      <w:r w:rsidR="005776C6">
        <w:instrText xml:space="preserve"> REF _Ref70670650 \h </w:instrText>
      </w:r>
      <w:r w:rsidR="005776C6">
        <w:fldChar w:fldCharType="separate"/>
      </w:r>
      <w:r w:rsidR="00EA2A1C">
        <w:t xml:space="preserve">Tabell </w:t>
      </w:r>
      <w:r w:rsidR="00EA2A1C">
        <w:rPr>
          <w:noProof/>
        </w:rPr>
        <w:t>1</w:t>
      </w:r>
      <w:r w:rsidR="005776C6">
        <w:fldChar w:fldCharType="end"/>
      </w:r>
      <w:r w:rsidR="005776C6">
        <w:t>.</w:t>
      </w:r>
      <w:r>
        <w:t xml:space="preserve"> </w:t>
      </w:r>
    </w:p>
    <w:p w14:paraId="6B293BD9" w14:textId="1246ADBD" w:rsidR="005776C6" w:rsidRDefault="005776C6" w:rsidP="00321D58">
      <w:pPr>
        <w:pStyle w:val="Beskrivning"/>
        <w:keepNext/>
      </w:pPr>
      <w:bookmarkStart w:id="1" w:name="_Ref70670650"/>
      <w:r>
        <w:t xml:space="preserve">Tabell </w:t>
      </w:r>
      <w:r w:rsidR="003B076F">
        <w:fldChar w:fldCharType="begin"/>
      </w:r>
      <w:r w:rsidR="003B076F">
        <w:instrText xml:space="preserve"> SEQ Tabell \* ARABIC </w:instrText>
      </w:r>
      <w:r w:rsidR="003B076F">
        <w:fldChar w:fldCharType="separate"/>
      </w:r>
      <w:r w:rsidR="00875271">
        <w:rPr>
          <w:noProof/>
        </w:rPr>
        <w:t>1</w:t>
      </w:r>
      <w:r w:rsidR="003B076F">
        <w:rPr>
          <w:noProof/>
        </w:rPr>
        <w:fldChar w:fldCharType="end"/>
      </w:r>
      <w:bookmarkEnd w:id="1"/>
      <w:r>
        <w:t xml:space="preserve">. </w:t>
      </w:r>
      <w:r w:rsidR="00255B29">
        <w:t>Tillåtet intervall för statiskt fel.</w:t>
      </w:r>
    </w:p>
    <w:tbl>
      <w:tblPr>
        <w:tblStyle w:val="SvKTabellformat"/>
        <w:tblW w:w="7028" w:type="dxa"/>
        <w:tblLook w:val="04A0" w:firstRow="1" w:lastRow="0" w:firstColumn="1" w:lastColumn="0" w:noHBand="0" w:noVBand="1"/>
      </w:tblPr>
      <w:tblGrid>
        <w:gridCol w:w="1783"/>
        <w:gridCol w:w="2126"/>
        <w:gridCol w:w="3119"/>
      </w:tblGrid>
      <w:tr w:rsidR="00F06688" w:rsidRPr="00E5294F" w14:paraId="6FA7EE79" w14:textId="77777777" w:rsidTr="006522C4">
        <w:trPr>
          <w:cnfStyle w:val="100000000000" w:firstRow="1" w:lastRow="0" w:firstColumn="0" w:lastColumn="0" w:oddVBand="0" w:evenVBand="0" w:oddHBand="0" w:evenHBand="0" w:firstRowFirstColumn="0" w:firstRowLastColumn="0" w:lastRowFirstColumn="0" w:lastRowLastColumn="0"/>
        </w:trPr>
        <w:tc>
          <w:tcPr>
            <w:tcW w:w="1783" w:type="dxa"/>
          </w:tcPr>
          <w:p w14:paraId="2716A543" w14:textId="77777777" w:rsidR="00967838" w:rsidRPr="00E5294F" w:rsidRDefault="00967838" w:rsidP="00B01DF6">
            <w:pPr>
              <w:pStyle w:val="Brdtext"/>
              <w:keepLines/>
              <w:rPr>
                <w:b/>
              </w:rPr>
            </w:pPr>
            <w:r w:rsidRPr="00E5294F">
              <w:rPr>
                <w:b/>
              </w:rPr>
              <w:t>Kategori</w:t>
            </w:r>
          </w:p>
        </w:tc>
        <w:tc>
          <w:tcPr>
            <w:tcW w:w="2126" w:type="dxa"/>
          </w:tcPr>
          <w:p w14:paraId="2ACED21C" w14:textId="72102152" w:rsidR="00967838" w:rsidRPr="00E5294F" w:rsidRDefault="006522C4" w:rsidP="00B01DF6">
            <w:pPr>
              <w:pStyle w:val="Brdtext"/>
              <w:keepLines/>
              <w:rPr>
                <w:b/>
              </w:rPr>
            </w:pPr>
            <w:r>
              <w:rPr>
                <w:b/>
              </w:rPr>
              <w:t xml:space="preserve">Förkvalificerad </w:t>
            </w:r>
            <w:r w:rsidR="000B4BC9">
              <w:rPr>
                <w:b/>
              </w:rPr>
              <w:t>aFRR kapacitet</w:t>
            </w:r>
          </w:p>
        </w:tc>
        <w:tc>
          <w:tcPr>
            <w:tcW w:w="3119" w:type="dxa"/>
          </w:tcPr>
          <w:p w14:paraId="5B5F3CAF" w14:textId="0B86399D" w:rsidR="00967838" w:rsidRPr="00E5294F" w:rsidRDefault="00F06688" w:rsidP="00255B29">
            <w:pPr>
              <w:pStyle w:val="Brdtext"/>
              <w:keepLines/>
              <w:rPr>
                <w:b/>
              </w:rPr>
            </w:pPr>
            <w:r>
              <w:rPr>
                <w:b/>
              </w:rPr>
              <w:t>Maximalt tillåtet s</w:t>
            </w:r>
            <w:r w:rsidR="00967838">
              <w:rPr>
                <w:b/>
              </w:rPr>
              <w:t>tatiskt fel</w:t>
            </w:r>
          </w:p>
        </w:tc>
      </w:tr>
      <w:tr w:rsidR="00F06688" w14:paraId="0814DD4D" w14:textId="77777777" w:rsidTr="006522C4">
        <w:trPr>
          <w:trHeight w:val="374"/>
        </w:trPr>
        <w:tc>
          <w:tcPr>
            <w:tcW w:w="1783" w:type="dxa"/>
            <w:vAlign w:val="center"/>
          </w:tcPr>
          <w:p w14:paraId="18747D30" w14:textId="77777777" w:rsidR="00967838" w:rsidRPr="0016765B" w:rsidRDefault="00967838" w:rsidP="00B01DF6">
            <w:pPr>
              <w:pStyle w:val="Tabelltext"/>
              <w:keepNext/>
              <w:keepLines/>
              <w:rPr>
                <w:sz w:val="20"/>
                <w:szCs w:val="20"/>
              </w:rPr>
            </w:pPr>
            <w:r w:rsidRPr="0016765B">
              <w:rPr>
                <w:sz w:val="20"/>
                <w:szCs w:val="20"/>
              </w:rPr>
              <w:t>1</w:t>
            </w:r>
          </w:p>
        </w:tc>
        <w:tc>
          <w:tcPr>
            <w:tcW w:w="2126" w:type="dxa"/>
            <w:vAlign w:val="center"/>
          </w:tcPr>
          <w:p w14:paraId="47F35D33" w14:textId="000D99C9" w:rsidR="00967838" w:rsidRDefault="00967838" w:rsidP="00255B29">
            <w:pPr>
              <w:pStyle w:val="Brdtext"/>
              <w:keepNext/>
              <w:keepLines/>
            </w:pPr>
            <w:r>
              <w:t>&lt;10 MW</w:t>
            </w:r>
          </w:p>
        </w:tc>
        <w:tc>
          <w:tcPr>
            <w:tcW w:w="3119" w:type="dxa"/>
            <w:vAlign w:val="center"/>
          </w:tcPr>
          <w:p w14:paraId="5E4B414C" w14:textId="7AE3768E" w:rsidR="00967838" w:rsidRDefault="00967838" w:rsidP="00B01DF6">
            <w:pPr>
              <w:pStyle w:val="Brdtext"/>
              <w:keepNext/>
              <w:keepLines/>
            </w:pPr>
            <m:oMath>
              <m:r>
                <w:rPr>
                  <w:rFonts w:ascii="Cambria Math" w:hAnsi="Cambria Math"/>
                </w:rPr>
                <m:t>±</m:t>
              </m:r>
            </m:oMath>
            <w:r w:rsidR="00F06688">
              <w:t xml:space="preserve"> 10 % av börvärde</w:t>
            </w:r>
            <w:r w:rsidR="00EB3533">
              <w:t>s ändringen</w:t>
            </w:r>
          </w:p>
        </w:tc>
      </w:tr>
      <w:tr w:rsidR="00F06688" w:rsidRPr="00F06688" w14:paraId="183E4B12" w14:textId="77777777" w:rsidTr="006522C4">
        <w:tc>
          <w:tcPr>
            <w:tcW w:w="1783" w:type="dxa"/>
            <w:vAlign w:val="center"/>
          </w:tcPr>
          <w:p w14:paraId="156E93EB" w14:textId="2E75E686" w:rsidR="00967838" w:rsidRPr="002C3597" w:rsidRDefault="00F06688" w:rsidP="00B01DF6">
            <w:pPr>
              <w:pStyle w:val="Tabelltext"/>
              <w:keepNext/>
              <w:keepLines/>
              <w:rPr>
                <w:sz w:val="20"/>
                <w:szCs w:val="20"/>
              </w:rPr>
            </w:pPr>
            <w:r>
              <w:rPr>
                <w:sz w:val="20"/>
                <w:szCs w:val="20"/>
              </w:rPr>
              <w:t>2</w:t>
            </w:r>
          </w:p>
        </w:tc>
        <w:tc>
          <w:tcPr>
            <w:tcW w:w="2126" w:type="dxa"/>
            <w:vAlign w:val="center"/>
          </w:tcPr>
          <w:p w14:paraId="4E2D5358" w14:textId="77777777" w:rsidR="00967838" w:rsidRDefault="00967838" w:rsidP="00B01DF6">
            <w:pPr>
              <w:pStyle w:val="Brdtext"/>
              <w:keepNext/>
              <w:keepLines/>
            </w:pPr>
            <w:r>
              <w:t>&gt;10 MW</w:t>
            </w:r>
          </w:p>
        </w:tc>
        <w:tc>
          <w:tcPr>
            <w:tcW w:w="3119" w:type="dxa"/>
            <w:vAlign w:val="center"/>
          </w:tcPr>
          <w:p w14:paraId="3BE340EB" w14:textId="11A6E6A6" w:rsidR="00967838" w:rsidRPr="00255B29" w:rsidRDefault="00FD3705" w:rsidP="00A37A27">
            <w:pPr>
              <w:pStyle w:val="Brdtext"/>
              <w:keepNext/>
              <w:keepLines/>
            </w:pPr>
            <w:r>
              <w:t>±1 MW</w:t>
            </w:r>
          </w:p>
        </w:tc>
      </w:tr>
      <w:tr w:rsidR="00967838" w:rsidRPr="00F06688" w14:paraId="301C5987" w14:textId="77777777" w:rsidTr="006522C4">
        <w:tc>
          <w:tcPr>
            <w:tcW w:w="1783" w:type="dxa"/>
            <w:vAlign w:val="center"/>
          </w:tcPr>
          <w:p w14:paraId="28D2A0E5" w14:textId="77777777" w:rsidR="00967838" w:rsidRPr="00F06688" w:rsidRDefault="00967838" w:rsidP="00B01DF6">
            <w:pPr>
              <w:pStyle w:val="Tabelltext"/>
              <w:keepNext/>
              <w:keepLines/>
              <w:rPr>
                <w:sz w:val="20"/>
                <w:szCs w:val="20"/>
              </w:rPr>
            </w:pPr>
          </w:p>
        </w:tc>
        <w:tc>
          <w:tcPr>
            <w:tcW w:w="2126" w:type="dxa"/>
            <w:vAlign w:val="center"/>
          </w:tcPr>
          <w:p w14:paraId="3373433D" w14:textId="77777777" w:rsidR="00967838" w:rsidRPr="00F06688" w:rsidRDefault="00967838" w:rsidP="00B01DF6">
            <w:pPr>
              <w:pStyle w:val="Brdtext"/>
              <w:keepNext/>
              <w:keepLines/>
            </w:pPr>
          </w:p>
        </w:tc>
        <w:tc>
          <w:tcPr>
            <w:tcW w:w="3119" w:type="dxa"/>
            <w:vAlign w:val="center"/>
          </w:tcPr>
          <w:p w14:paraId="67E75107" w14:textId="77777777" w:rsidR="00967838" w:rsidRPr="00F06688" w:rsidRDefault="00967838" w:rsidP="00B01DF6">
            <w:pPr>
              <w:pStyle w:val="Brdtext"/>
              <w:keepNext/>
              <w:keepLines/>
            </w:pPr>
          </w:p>
        </w:tc>
      </w:tr>
    </w:tbl>
    <w:p w14:paraId="468D0414" w14:textId="32331D82" w:rsidR="007B101A" w:rsidRDefault="007B101A" w:rsidP="007B101A">
      <w:pPr>
        <w:pStyle w:val="Rubrik2"/>
      </w:pPr>
      <w:r>
        <w:t xml:space="preserve">1.2 Reaktionstid </w:t>
      </w:r>
    </w:p>
    <w:p w14:paraId="470552DC" w14:textId="382527E5" w:rsidR="007B101A" w:rsidRDefault="007B101A" w:rsidP="007B101A">
      <w:pPr>
        <w:pStyle w:val="Brdtext"/>
        <w:keepNext/>
      </w:pPr>
      <w:r>
        <w:t xml:space="preserve">Reaktionstid definieras som tiden det tar från att Svk skickar ett nytt börvärde till att enheten/gruppen börjar reglera, vilket illustreras i </w:t>
      </w:r>
      <w:r w:rsidR="00671E90">
        <w:fldChar w:fldCharType="begin"/>
      </w:r>
      <w:r w:rsidR="00671E90">
        <w:instrText xml:space="preserve"> REF _Ref70673749 \h </w:instrText>
      </w:r>
      <w:r w:rsidR="00671E90">
        <w:fldChar w:fldCharType="separate"/>
      </w:r>
      <w:r w:rsidR="00EA2A1C">
        <w:t xml:space="preserve">Figur </w:t>
      </w:r>
      <w:r w:rsidR="00EA2A1C">
        <w:rPr>
          <w:noProof/>
        </w:rPr>
        <w:t>1</w:t>
      </w:r>
      <w:r w:rsidR="00671E90">
        <w:fldChar w:fldCharType="end"/>
      </w:r>
      <w:r>
        <w:t xml:space="preserve"> nedan.</w:t>
      </w:r>
      <w:r w:rsidR="00443810">
        <w:t xml:space="preserve"> </w:t>
      </w:r>
      <w:r>
        <w:lastRenderedPageBreak/>
        <w:t xml:space="preserve">Reaktionstiden får inte överstiga 30 sekunder. </w:t>
      </w:r>
      <w:r w:rsidR="00DD6C31">
        <w:rPr>
          <w:noProof/>
        </w:rPr>
        <w:drawing>
          <wp:inline distT="0" distB="0" distL="0" distR="0" wp14:anchorId="47C49641" wp14:editId="0F23583F">
            <wp:extent cx="4679950" cy="2955290"/>
            <wp:effectExtent l="0" t="0" r="635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kniska krav FAT_v3.png"/>
                    <pic:cNvPicPr/>
                  </pic:nvPicPr>
                  <pic:blipFill>
                    <a:blip r:embed="rId15">
                      <a:extLst>
                        <a:ext uri="{28A0092B-C50C-407E-A947-70E740481C1C}">
                          <a14:useLocalDpi xmlns:a14="http://schemas.microsoft.com/office/drawing/2010/main" val="0"/>
                        </a:ext>
                      </a:extLst>
                    </a:blip>
                    <a:stretch>
                      <a:fillRect/>
                    </a:stretch>
                  </pic:blipFill>
                  <pic:spPr>
                    <a:xfrm>
                      <a:off x="0" y="0"/>
                      <a:ext cx="4679950" cy="2955290"/>
                    </a:xfrm>
                    <a:prstGeom prst="rect">
                      <a:avLst/>
                    </a:prstGeom>
                  </pic:spPr>
                </pic:pic>
              </a:graphicData>
            </a:graphic>
          </wp:inline>
        </w:drawing>
      </w:r>
    </w:p>
    <w:p w14:paraId="32489B03" w14:textId="5F92A9F9" w:rsidR="007B101A" w:rsidRDefault="007B101A" w:rsidP="007B101A">
      <w:pPr>
        <w:pStyle w:val="Beskrivning"/>
      </w:pPr>
      <w:bookmarkStart w:id="2" w:name="_Ref70673749"/>
      <w:bookmarkStart w:id="3" w:name="_Ref70673745"/>
      <w:r>
        <w:t xml:space="preserve">Figur </w:t>
      </w:r>
      <w:r w:rsidR="003B076F">
        <w:fldChar w:fldCharType="begin"/>
      </w:r>
      <w:r w:rsidR="003B076F">
        <w:instrText xml:space="preserve"> SEQ Figur \* ARABIC </w:instrText>
      </w:r>
      <w:r w:rsidR="003B076F">
        <w:fldChar w:fldCharType="separate"/>
      </w:r>
      <w:r w:rsidR="00EA2A1C">
        <w:rPr>
          <w:noProof/>
        </w:rPr>
        <w:t>1</w:t>
      </w:r>
      <w:r w:rsidR="003B076F">
        <w:rPr>
          <w:noProof/>
        </w:rPr>
        <w:fldChar w:fldCharType="end"/>
      </w:r>
      <w:bookmarkEnd w:id="2"/>
      <w:r>
        <w:t xml:space="preserve">. </w:t>
      </w:r>
      <w:r w:rsidRPr="00247299">
        <w:t xml:space="preserve">Definition av reaktionstid och aktiveringstid (FAT). </w:t>
      </w:r>
      <w:r>
        <w:t>Responsen från e</w:t>
      </w:r>
      <w:r w:rsidRPr="00247299">
        <w:t>nheten eller gruppen får under aktiveringen inte befinna sig i det röda området</w:t>
      </w:r>
      <w:r>
        <w:t>.</w:t>
      </w:r>
      <w:r w:rsidR="007174B1">
        <w:t xml:space="preserve"> </w:t>
      </w:r>
      <w:r w:rsidR="00956E4D">
        <w:t xml:space="preserve">Det </w:t>
      </w:r>
      <w:r>
        <w:t xml:space="preserve">röda området beror av </w:t>
      </w:r>
      <w:r w:rsidR="006522C4">
        <w:t xml:space="preserve">vilken kapacitet aFRR förkvalificeringen avser, </w:t>
      </w:r>
      <w:r>
        <w:t xml:space="preserve">se </w:t>
      </w:r>
      <w:r>
        <w:fldChar w:fldCharType="begin"/>
      </w:r>
      <w:r>
        <w:instrText xml:space="preserve"> REF _Ref70670650 \h </w:instrText>
      </w:r>
      <w:r>
        <w:fldChar w:fldCharType="separate"/>
      </w:r>
      <w:r w:rsidR="00EA2A1C">
        <w:t xml:space="preserve">Tabell </w:t>
      </w:r>
      <w:r w:rsidR="00EA2A1C">
        <w:rPr>
          <w:noProof/>
        </w:rPr>
        <w:t>1</w:t>
      </w:r>
      <w:r>
        <w:fldChar w:fldCharType="end"/>
      </w:r>
      <w:r w:rsidR="006522C4">
        <w:t>. I</w:t>
      </w:r>
      <w:r w:rsidR="00956E4D">
        <w:t xml:space="preserve"> figuren används intervallet </w:t>
      </w:r>
      <m:oMath>
        <m:r>
          <w:rPr>
            <w:rFonts w:ascii="Cambria Math" w:hAnsi="Cambria Math"/>
          </w:rPr>
          <m:t>±</m:t>
        </m:r>
      </m:oMath>
      <w:r w:rsidR="00956E4D">
        <w:t> 10 % av börvärdet</w:t>
      </w:r>
      <w:r>
        <w:t>.</w:t>
      </w:r>
      <w:r w:rsidRPr="00247299">
        <w:t xml:space="preserve"> Den blå kurvan visar ett exempel på en godkänd </w:t>
      </w:r>
      <w:r>
        <w:t>respons</w:t>
      </w:r>
      <w:r w:rsidRPr="00247299">
        <w:t xml:space="preserve"> givet börvärde enligt den gröna kurvan</w:t>
      </w:r>
      <w:r>
        <w:t>, responsen utgörs av en reaktionstid på 30 sekunder och därefter linjär aktivering.</w:t>
      </w:r>
      <w:bookmarkEnd w:id="3"/>
    </w:p>
    <w:p w14:paraId="266F9ACF" w14:textId="63365FB6" w:rsidR="007B101A" w:rsidRDefault="007B101A" w:rsidP="007B101A">
      <w:pPr>
        <w:pStyle w:val="Rubrik2"/>
      </w:pPr>
      <w:bookmarkStart w:id="4" w:name="_Ref70674728"/>
      <w:r>
        <w:t>1</w:t>
      </w:r>
      <w:r w:rsidR="007174B1">
        <w:t>.3</w:t>
      </w:r>
      <w:r>
        <w:t xml:space="preserve"> Aktivering</w:t>
      </w:r>
      <w:bookmarkEnd w:id="4"/>
    </w:p>
    <w:p w14:paraId="2292AD13" w14:textId="40E0EF0C" w:rsidR="007B101A" w:rsidRPr="009D0558" w:rsidRDefault="007B101A" w:rsidP="007B101A">
      <w:pPr>
        <w:pStyle w:val="Brdtext"/>
      </w:pPr>
      <w:r>
        <w:t>Aktiveringstid (</w:t>
      </w:r>
      <w:r w:rsidRPr="00140CF9">
        <w:rPr>
          <w:i/>
        </w:rPr>
        <w:t>full activation time</w:t>
      </w:r>
      <w:r>
        <w:t>, FAT</w:t>
      </w:r>
      <w:r>
        <w:rPr>
          <w:rStyle w:val="Fotnotsreferens"/>
        </w:rPr>
        <w:footnoteReference w:id="1"/>
      </w:r>
      <w:r>
        <w:t xml:space="preserve">) definieras som tiden det tar från att Svk skickar ett nytt börvärde till att enheten eller gruppen levererar enligt det nya börvärdet, vilket illustreras i </w:t>
      </w:r>
      <w:r w:rsidR="007174B1">
        <w:fldChar w:fldCharType="begin"/>
      </w:r>
      <w:r w:rsidR="007174B1">
        <w:instrText xml:space="preserve"> REF _Ref70673749 \h </w:instrText>
      </w:r>
      <w:r w:rsidR="007174B1">
        <w:fldChar w:fldCharType="separate"/>
      </w:r>
      <w:r w:rsidR="00EA2A1C">
        <w:t xml:space="preserve">Figur </w:t>
      </w:r>
      <w:r w:rsidR="00EA2A1C">
        <w:rPr>
          <w:noProof/>
        </w:rPr>
        <w:t>1</w:t>
      </w:r>
      <w:r w:rsidR="007174B1">
        <w:fldChar w:fldCharType="end"/>
      </w:r>
      <w:r>
        <w:t xml:space="preserve">. </w:t>
      </w:r>
      <w:r w:rsidR="006C6713" w:rsidRPr="009D0558">
        <w:t xml:space="preserve"> </w:t>
      </w:r>
    </w:p>
    <w:p w14:paraId="70067C61" w14:textId="19752D17" w:rsidR="007B101A" w:rsidRDefault="00321D58" w:rsidP="007B101A">
      <w:pPr>
        <w:pStyle w:val="Brdtext"/>
      </w:pPr>
      <w:r>
        <w:t>Varken a</w:t>
      </w:r>
      <w:r w:rsidR="007B101A">
        <w:t>ktiveringstiden</w:t>
      </w:r>
      <w:r>
        <w:t xml:space="preserve"> eller deaktiveringstiden</w:t>
      </w:r>
      <w:r w:rsidR="007B101A">
        <w:t xml:space="preserve"> får överstiga </w:t>
      </w:r>
      <w:r w:rsidR="00F472A2">
        <w:t>maximal tillåten aktivering</w:t>
      </w:r>
      <w:r w:rsidR="00443810">
        <w:t>s</w:t>
      </w:r>
      <w:r w:rsidR="00F472A2">
        <w:t>tid</w:t>
      </w:r>
      <w:r w:rsidR="007B101A">
        <w:t xml:space="preserve">. Detta innebär att senast </w:t>
      </w:r>
      <w:r w:rsidR="00C21B9C">
        <w:t xml:space="preserve">5 </w:t>
      </w:r>
      <w:r w:rsidR="007B101A">
        <w:t>minuter</w:t>
      </w:r>
      <w:r w:rsidR="00F472A2">
        <w:t xml:space="preserve"> </w:t>
      </w:r>
      <w:r w:rsidR="007B101A">
        <w:t>efter en skickad börvärdesförändring ska enheten eller gruppen leverera aFRR enligt det nya börvärdet. Detta gäller för samtliga steg i börvärde, oavsett om steget är 1 MW eller maximal kapacitet aFRR. Steget där aktiveringen tar längst tid definierar FAT för enheten eller gruppen.</w:t>
      </w:r>
    </w:p>
    <w:p w14:paraId="43DE8435" w14:textId="69E2078F" w:rsidR="007B101A" w:rsidRDefault="007B101A" w:rsidP="007B101A">
      <w:pPr>
        <w:pStyle w:val="Brdtext"/>
      </w:pPr>
      <w:r>
        <w:t xml:space="preserve">Responsen från enheten eller gruppen får under aktiveringen inte befinna sig i det röda området i </w:t>
      </w:r>
      <w:r w:rsidR="007174B1">
        <w:fldChar w:fldCharType="begin"/>
      </w:r>
      <w:r w:rsidR="007174B1">
        <w:instrText xml:space="preserve"> REF _Ref70673749 \h </w:instrText>
      </w:r>
      <w:r w:rsidR="007174B1">
        <w:fldChar w:fldCharType="separate"/>
      </w:r>
      <w:r w:rsidR="00EA2A1C">
        <w:t xml:space="preserve">Figur </w:t>
      </w:r>
      <w:r w:rsidR="00EA2A1C">
        <w:rPr>
          <w:noProof/>
        </w:rPr>
        <w:t>1</w:t>
      </w:r>
      <w:r w:rsidR="007174B1">
        <w:fldChar w:fldCharType="end"/>
      </w:r>
      <w:r w:rsidR="00EA2A1C">
        <w:t>.</w:t>
      </w:r>
      <w:r>
        <w:t xml:space="preserve"> Ett exempel på en godkänd aktivering är den blå kurvan i </w:t>
      </w:r>
      <w:r w:rsidR="007174B1">
        <w:fldChar w:fldCharType="begin"/>
      </w:r>
      <w:r w:rsidR="007174B1">
        <w:instrText xml:space="preserve"> REF _Ref70673749 \h </w:instrText>
      </w:r>
      <w:r w:rsidR="007174B1">
        <w:fldChar w:fldCharType="separate"/>
      </w:r>
      <w:r w:rsidR="00EA2A1C">
        <w:t xml:space="preserve">Figur </w:t>
      </w:r>
      <w:r w:rsidR="00EA2A1C">
        <w:rPr>
          <w:noProof/>
        </w:rPr>
        <w:t>1</w:t>
      </w:r>
      <w:r w:rsidR="007174B1">
        <w:fldChar w:fldCharType="end"/>
      </w:r>
      <w:r>
        <w:t>.</w:t>
      </w:r>
    </w:p>
    <w:p w14:paraId="66491CB0" w14:textId="4C69DECF" w:rsidR="00E50D8C" w:rsidRDefault="007B101A" w:rsidP="00493232">
      <w:pPr>
        <w:pStyle w:val="Brdtext"/>
      </w:pPr>
      <w:r>
        <w:t xml:space="preserve">Vid aktiveringen av aFRR </w:t>
      </w:r>
      <w:r w:rsidR="006C6713">
        <w:t>får</w:t>
      </w:r>
      <w:r>
        <w:t xml:space="preserve"> maximal överleverans</w:t>
      </w:r>
      <w:r w:rsidR="006C6713">
        <w:t xml:space="preserve"> ej överstiga </w:t>
      </w:r>
      <m:oMath>
        <m:r>
          <w:rPr>
            <w:rFonts w:ascii="Cambria Math" w:hAnsi="Cambria Math"/>
          </w:rPr>
          <m:t>±</m:t>
        </m:r>
      </m:oMath>
      <w:r w:rsidR="006C6713">
        <w:t xml:space="preserve"> 10 % av börvärde, d</w:t>
      </w:r>
      <w:r w:rsidR="007174B1">
        <w:t xml:space="preserve">etta illustreras i </w:t>
      </w:r>
      <w:r>
        <w:rPr>
          <w:highlight w:val="yellow"/>
        </w:rPr>
        <w:fldChar w:fldCharType="begin"/>
      </w:r>
      <w:r>
        <w:instrText xml:space="preserve"> REF _Ref66366710 \h </w:instrText>
      </w:r>
      <w:r>
        <w:rPr>
          <w:highlight w:val="yellow"/>
        </w:rPr>
      </w:r>
      <w:r>
        <w:rPr>
          <w:highlight w:val="yellow"/>
        </w:rPr>
        <w:fldChar w:fldCharType="separate"/>
      </w:r>
      <w:r w:rsidR="00EA2A1C">
        <w:t xml:space="preserve">Figur </w:t>
      </w:r>
      <w:r w:rsidR="00EA2A1C">
        <w:rPr>
          <w:noProof/>
        </w:rPr>
        <w:t>2</w:t>
      </w:r>
      <w:r>
        <w:rPr>
          <w:highlight w:val="yellow"/>
        </w:rPr>
        <w:fldChar w:fldCharType="end"/>
      </w:r>
      <w:r>
        <w:t xml:space="preserve">. </w:t>
      </w:r>
    </w:p>
    <w:p w14:paraId="5F03229A" w14:textId="7A0B5CB9" w:rsidR="004E16B3" w:rsidRDefault="004E16B3" w:rsidP="00493232">
      <w:pPr>
        <w:pStyle w:val="Brdtext"/>
        <w:keepNext/>
        <w:jc w:val="center"/>
      </w:pPr>
      <w:r>
        <w:rPr>
          <w:noProof/>
        </w:rPr>
        <w:lastRenderedPageBreak/>
        <w:drawing>
          <wp:inline distT="0" distB="0" distL="0" distR="0" wp14:anchorId="20F12064" wp14:editId="7CEE4223">
            <wp:extent cx="4365155" cy="3028875"/>
            <wp:effectExtent l="0" t="0" r="0" b="63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kniska krav överleverans.png"/>
                    <pic:cNvPicPr/>
                  </pic:nvPicPr>
                  <pic:blipFill rotWithShape="1">
                    <a:blip r:embed="rId16">
                      <a:extLst>
                        <a:ext uri="{28A0092B-C50C-407E-A947-70E740481C1C}">
                          <a14:useLocalDpi xmlns:a14="http://schemas.microsoft.com/office/drawing/2010/main" val="0"/>
                        </a:ext>
                      </a:extLst>
                    </a:blip>
                    <a:srcRect l="1838" t="7575" r="6427" b="7563"/>
                    <a:stretch/>
                  </pic:blipFill>
                  <pic:spPr bwMode="auto">
                    <a:xfrm>
                      <a:off x="0" y="0"/>
                      <a:ext cx="4383179" cy="3041381"/>
                    </a:xfrm>
                    <a:prstGeom prst="rect">
                      <a:avLst/>
                    </a:prstGeom>
                    <a:ln>
                      <a:noFill/>
                    </a:ln>
                    <a:extLst>
                      <a:ext uri="{53640926-AAD7-44D8-BBD7-CCE9431645EC}">
                        <a14:shadowObscured xmlns:a14="http://schemas.microsoft.com/office/drawing/2010/main"/>
                      </a:ext>
                    </a:extLst>
                  </pic:spPr>
                </pic:pic>
              </a:graphicData>
            </a:graphic>
          </wp:inline>
        </w:drawing>
      </w:r>
    </w:p>
    <w:p w14:paraId="42552A85" w14:textId="48024E84" w:rsidR="002C1732" w:rsidRDefault="00D24D3F" w:rsidP="00D24D3F">
      <w:pPr>
        <w:pStyle w:val="Beskrivning"/>
      </w:pPr>
      <w:bookmarkStart w:id="5" w:name="_Ref66366710"/>
      <w:r>
        <w:t xml:space="preserve">Figur </w:t>
      </w:r>
      <w:r w:rsidR="003B076F">
        <w:fldChar w:fldCharType="begin"/>
      </w:r>
      <w:r w:rsidR="003B076F">
        <w:instrText xml:space="preserve"> SEQ Figur \* ARABIC </w:instrText>
      </w:r>
      <w:r w:rsidR="003B076F">
        <w:fldChar w:fldCharType="separate"/>
      </w:r>
      <w:r w:rsidR="00EA2A1C">
        <w:rPr>
          <w:noProof/>
        </w:rPr>
        <w:t>2</w:t>
      </w:r>
      <w:r w:rsidR="003B076F">
        <w:rPr>
          <w:noProof/>
        </w:rPr>
        <w:fldChar w:fldCharType="end"/>
      </w:r>
      <w:bookmarkEnd w:id="5"/>
      <w:r>
        <w:t xml:space="preserve">. </w:t>
      </w:r>
      <w:r w:rsidR="001B6492">
        <w:t>Illustr</w:t>
      </w:r>
      <w:r w:rsidR="003B3BE2">
        <w:t>ation</w:t>
      </w:r>
      <w:r w:rsidR="001B6492">
        <w:t xml:space="preserve"> </w:t>
      </w:r>
      <w:r>
        <w:t xml:space="preserve">av </w:t>
      </w:r>
      <w:r w:rsidR="003B3BE2">
        <w:t xml:space="preserve">definition för </w:t>
      </w:r>
      <w:r>
        <w:t>överleverans</w:t>
      </w:r>
      <w:r w:rsidR="001B6492">
        <w:t xml:space="preserve"> samt tillåtet intervall för överleverans </w:t>
      </w:r>
      <w:r w:rsidR="003B3BE2">
        <w:t>vid</w:t>
      </w:r>
      <w:r w:rsidR="001B6492">
        <w:t xml:space="preserve"> </w:t>
      </w:r>
      <w:r w:rsidR="006C6713">
        <w:t>aktivering</w:t>
      </w:r>
      <w:r w:rsidR="001B6492">
        <w:t xml:space="preserve"> av aFRR.</w:t>
      </w:r>
      <w:r w:rsidR="007174B1">
        <w:t xml:space="preserve"> </w:t>
      </w:r>
      <w:r w:rsidR="006C6713">
        <w:t>T</w:t>
      </w:r>
      <w:r w:rsidR="007174B1">
        <w:t xml:space="preserve">illåtet intervall </w:t>
      </w:r>
      <w:r w:rsidR="006C6713">
        <w:t>är</w:t>
      </w:r>
      <w:r w:rsidR="007174B1">
        <w:t xml:space="preserve"> </w:t>
      </w:r>
      <m:oMath>
        <m:r>
          <w:rPr>
            <w:rFonts w:ascii="Cambria Math" w:hAnsi="Cambria Math"/>
          </w:rPr>
          <m:t>±</m:t>
        </m:r>
      </m:oMath>
      <w:r w:rsidR="007174B1">
        <w:t xml:space="preserve"> 10 % av </w:t>
      </w:r>
      <w:r w:rsidR="006C6713">
        <w:t>börvärdet.</w:t>
      </w:r>
    </w:p>
    <w:p w14:paraId="4F45137B" w14:textId="4EA33D8B" w:rsidR="003959C6" w:rsidRDefault="003D2CA4" w:rsidP="005E09D9">
      <w:pPr>
        <w:pStyle w:val="Rubrik2"/>
      </w:pPr>
      <w:r>
        <w:t>1.</w:t>
      </w:r>
      <w:r w:rsidR="001B6492">
        <w:t>4</w:t>
      </w:r>
      <w:r w:rsidR="001A235A">
        <w:t xml:space="preserve"> </w:t>
      </w:r>
      <w:r>
        <w:t>Snabba förändringar i börvärde</w:t>
      </w:r>
    </w:p>
    <w:p w14:paraId="168E1A2A" w14:textId="7AE16B1C" w:rsidR="003D2CA4" w:rsidRDefault="00255B29" w:rsidP="003959C6">
      <w:pPr>
        <w:pStyle w:val="Brdtext"/>
      </w:pPr>
      <w:r>
        <w:t xml:space="preserve">Snabba förändringar i börvärde syftar här på när ett eller flera nya börvärden för aFRR mottas </w:t>
      </w:r>
      <w:r w:rsidR="00AB6B6D">
        <w:t>innan</w:t>
      </w:r>
      <w:r w:rsidR="007174B1">
        <w:t xml:space="preserve"> </w:t>
      </w:r>
      <w:r w:rsidR="00AB6B6D">
        <w:t>en tid motsvarande FAT</w:t>
      </w:r>
      <w:r>
        <w:t xml:space="preserve"> </w:t>
      </w:r>
      <w:r w:rsidR="00AB6B6D">
        <w:t xml:space="preserve">passerat sedan </w:t>
      </w:r>
      <w:r>
        <w:t xml:space="preserve">senaste mottagna börvärdet. </w:t>
      </w:r>
      <w:r w:rsidR="003D2CA4">
        <w:t xml:space="preserve">Vid flera snabbt på varandra följande uppdateringar av börvärde ska enheten eller gruppen fortfarande klara av att uppfylla kraven som beskrivs </w:t>
      </w:r>
      <w:r w:rsidR="00AB6B6D">
        <w:t>ovan</w:t>
      </w:r>
      <w:r w:rsidR="003D2CA4">
        <w:t>.</w:t>
      </w:r>
      <w:r>
        <w:t xml:space="preserve"> </w:t>
      </w:r>
      <w:r w:rsidR="00557C0C">
        <w:t xml:space="preserve">Det innebär att </w:t>
      </w:r>
      <w:r w:rsidR="003D2CA4">
        <w:t>5 minuter efter</w:t>
      </w:r>
      <w:r>
        <w:t xml:space="preserve"> den</w:t>
      </w:r>
      <w:r w:rsidR="003D2CA4">
        <w:t xml:space="preserve"> senaste </w:t>
      </w:r>
      <w:r w:rsidR="00D24D3F">
        <w:t>förändringen av börvärde</w:t>
      </w:r>
      <w:r w:rsidR="003D2CA4">
        <w:t xml:space="preserve"> </w:t>
      </w:r>
      <w:r w:rsidR="00D24D3F">
        <w:t>skickats</w:t>
      </w:r>
      <w:r w:rsidR="003D2CA4">
        <w:t xml:space="preserve"> ska </w:t>
      </w:r>
      <w:r w:rsidR="00557C0C">
        <w:t xml:space="preserve">leveransen av aFRR </w:t>
      </w:r>
      <w:r>
        <w:t xml:space="preserve">uppfylla kraven i </w:t>
      </w:r>
      <w:r>
        <w:fldChar w:fldCharType="begin"/>
      </w:r>
      <w:r>
        <w:instrText xml:space="preserve"> REF _Ref70670650 \h </w:instrText>
      </w:r>
      <w:r>
        <w:fldChar w:fldCharType="separate"/>
      </w:r>
      <w:r w:rsidR="00EA2A1C">
        <w:t xml:space="preserve">Tabell </w:t>
      </w:r>
      <w:r w:rsidR="00EA2A1C">
        <w:rPr>
          <w:noProof/>
        </w:rPr>
        <w:t>1</w:t>
      </w:r>
      <w:r>
        <w:fldChar w:fldCharType="end"/>
      </w:r>
      <w:r>
        <w:t>.</w:t>
      </w:r>
    </w:p>
    <w:p w14:paraId="199DF761" w14:textId="3B25B222" w:rsidR="001A235A" w:rsidRDefault="003D2CA4" w:rsidP="005E09D9">
      <w:pPr>
        <w:pStyle w:val="Rubrik2"/>
      </w:pPr>
      <w:r>
        <w:t>1</w:t>
      </w:r>
      <w:r w:rsidR="00BC0425">
        <w:t>.5</w:t>
      </w:r>
      <w:r w:rsidR="003959C6">
        <w:t xml:space="preserve"> </w:t>
      </w:r>
      <w:r w:rsidR="001A235A">
        <w:t>Uthållighet</w:t>
      </w:r>
    </w:p>
    <w:p w14:paraId="04541A79" w14:textId="6C4A4DD7" w:rsidR="00557C0C" w:rsidRDefault="00557C0C" w:rsidP="001A235A">
      <w:pPr>
        <w:pStyle w:val="Brdtext"/>
      </w:pPr>
      <w:r>
        <w:t>Den volym aFRR som enheten eller gruppen blivit avropad för ska vara till</w:t>
      </w:r>
      <w:r w:rsidR="00D24D3F">
        <w:t>gänglig under hela leveransperioden</w:t>
      </w:r>
      <w:r>
        <w:t xml:space="preserve">. För aFRR innebär det att enheten eller gruppen ska kunna leverera maximal kapacitet aFRR för uppreglering respektive nedreglering i </w:t>
      </w:r>
      <w:r w:rsidR="00D24D3F">
        <w:t xml:space="preserve">minst </w:t>
      </w:r>
      <w:r>
        <w:t xml:space="preserve">1 timme. </w:t>
      </w:r>
    </w:p>
    <w:p w14:paraId="0DEE1FF2" w14:textId="01D4CB2F" w:rsidR="005E09D9" w:rsidRDefault="001A235A" w:rsidP="005E09D9">
      <w:pPr>
        <w:pStyle w:val="Rubrik2"/>
      </w:pPr>
      <w:r>
        <w:t>1.</w:t>
      </w:r>
      <w:r w:rsidR="00BC0425">
        <w:t>6</w:t>
      </w:r>
      <w:r w:rsidR="00420AE8">
        <w:t xml:space="preserve"> Kommunikationsavbrott</w:t>
      </w:r>
    </w:p>
    <w:p w14:paraId="0B374F86" w14:textId="410B6D07" w:rsidR="005E09D9" w:rsidRDefault="002F6458" w:rsidP="005E09D9">
      <w:pPr>
        <w:pStyle w:val="Brdtext"/>
      </w:pPr>
      <w:r>
        <w:t>Vid ett avbrott i realtidskommunikationen med Svenska kraftnät ska enheten eller gruppen ligga kvar på en aktivering motsvarande det senast mottagna börvärdet.</w:t>
      </w:r>
    </w:p>
    <w:p w14:paraId="6E6283E0" w14:textId="116AE130" w:rsidR="009C3A51" w:rsidRDefault="009C3A51" w:rsidP="005E09D9">
      <w:pPr>
        <w:pStyle w:val="Brdtext"/>
      </w:pPr>
    </w:p>
    <w:p w14:paraId="4C4DABCE" w14:textId="040CC2B1" w:rsidR="009C3A51" w:rsidRDefault="009C3A51" w:rsidP="005E09D9">
      <w:pPr>
        <w:pStyle w:val="Brdtext"/>
      </w:pPr>
    </w:p>
    <w:p w14:paraId="7895B69F" w14:textId="77777777" w:rsidR="009C3A51" w:rsidRDefault="009C3A51" w:rsidP="005E09D9">
      <w:pPr>
        <w:pStyle w:val="Brdtext"/>
      </w:pPr>
    </w:p>
    <w:p w14:paraId="654EED3F" w14:textId="62F04A9E" w:rsidR="005533F6" w:rsidRDefault="005533F6" w:rsidP="005533F6">
      <w:pPr>
        <w:pStyle w:val="Rubrik2"/>
      </w:pPr>
      <w:r>
        <w:lastRenderedPageBreak/>
        <w:t>1.</w:t>
      </w:r>
      <w:r w:rsidR="00BC0425">
        <w:t>7</w:t>
      </w:r>
      <w:r>
        <w:t xml:space="preserve"> Krav på mätsystem</w:t>
      </w:r>
    </w:p>
    <w:p w14:paraId="69926A2A" w14:textId="6799D515" w:rsidR="005533F6" w:rsidRDefault="00956E4D" w:rsidP="007B6AA6">
      <w:pPr>
        <w:pStyle w:val="Brdtext"/>
      </w:pPr>
      <w:r>
        <w:t>Nedan</w:t>
      </w:r>
      <w:r w:rsidR="007B6AA6">
        <w:t xml:space="preserve"> redogörs för minimikraven för mätningen av aktiv effekt för enheten eller gruppen vid leverans av aFRR. Krav på upplösning och samplingstid presenteras i </w:t>
      </w:r>
      <w:r w:rsidR="007B6AA6">
        <w:fldChar w:fldCharType="begin"/>
      </w:r>
      <w:r w:rsidR="007B6AA6">
        <w:instrText xml:space="preserve"> REF _Ref70665992 \h </w:instrText>
      </w:r>
      <w:r w:rsidR="007B6AA6">
        <w:fldChar w:fldCharType="separate"/>
      </w:r>
      <w:r w:rsidR="00EA2A1C">
        <w:t xml:space="preserve">Tabell </w:t>
      </w:r>
      <w:r w:rsidR="00EA2A1C">
        <w:rPr>
          <w:noProof/>
        </w:rPr>
        <w:t>2</w:t>
      </w:r>
      <w:r w:rsidR="007B6AA6">
        <w:fldChar w:fldCharType="end"/>
      </w:r>
      <w:r w:rsidR="007B6AA6">
        <w:t>.</w:t>
      </w:r>
    </w:p>
    <w:p w14:paraId="76F138CB" w14:textId="3DD4996C" w:rsidR="007B6AA6" w:rsidRDefault="007B6AA6" w:rsidP="007B6AA6">
      <w:pPr>
        <w:pStyle w:val="Beskrivning"/>
        <w:keepNext/>
      </w:pPr>
      <w:bookmarkStart w:id="6" w:name="_Ref70665992"/>
      <w:bookmarkStart w:id="7" w:name="_Ref70665986"/>
      <w:r>
        <w:t xml:space="preserve">Tabell </w:t>
      </w:r>
      <w:r w:rsidR="003B076F">
        <w:fldChar w:fldCharType="begin"/>
      </w:r>
      <w:r w:rsidR="003B076F">
        <w:instrText xml:space="preserve"> SEQ Tabell \* ARABIC </w:instrText>
      </w:r>
      <w:r w:rsidR="003B076F">
        <w:fldChar w:fldCharType="separate"/>
      </w:r>
      <w:r w:rsidR="00875271">
        <w:rPr>
          <w:noProof/>
        </w:rPr>
        <w:t>2</w:t>
      </w:r>
      <w:r w:rsidR="003B076F">
        <w:rPr>
          <w:noProof/>
        </w:rPr>
        <w:fldChar w:fldCharType="end"/>
      </w:r>
      <w:bookmarkEnd w:id="6"/>
      <w:r>
        <w:t>. Krav på upplösning och samplingstid för aktiv effekt.</w:t>
      </w:r>
      <w:bookmarkEnd w:id="7"/>
    </w:p>
    <w:tbl>
      <w:tblPr>
        <w:tblStyle w:val="SvKTabellformat"/>
        <w:tblW w:w="6886" w:type="dxa"/>
        <w:tblLook w:val="04A0" w:firstRow="1" w:lastRow="0" w:firstColumn="1" w:lastColumn="0" w:noHBand="0" w:noVBand="1"/>
      </w:tblPr>
      <w:tblGrid>
        <w:gridCol w:w="2114"/>
        <w:gridCol w:w="2362"/>
        <w:gridCol w:w="2410"/>
      </w:tblGrid>
      <w:tr w:rsidR="00385FC2" w:rsidRPr="008D2C27" w14:paraId="1562E654" w14:textId="77777777" w:rsidTr="00B01DF6">
        <w:trPr>
          <w:cnfStyle w:val="100000000000" w:firstRow="1" w:lastRow="0" w:firstColumn="0" w:lastColumn="0" w:oddVBand="0" w:evenVBand="0" w:oddHBand="0" w:evenHBand="0" w:firstRowFirstColumn="0" w:firstRowLastColumn="0" w:lastRowFirstColumn="0" w:lastRowLastColumn="0"/>
        </w:trPr>
        <w:tc>
          <w:tcPr>
            <w:tcW w:w="2114" w:type="dxa"/>
          </w:tcPr>
          <w:p w14:paraId="1F1CCBBE" w14:textId="77777777" w:rsidR="007B6AA6" w:rsidRPr="00E5294F" w:rsidRDefault="007B6AA6" w:rsidP="00B01DF6">
            <w:pPr>
              <w:pStyle w:val="Brdtext"/>
              <w:keepLines/>
              <w:rPr>
                <w:b/>
              </w:rPr>
            </w:pPr>
            <w:r>
              <w:rPr>
                <w:b/>
              </w:rPr>
              <w:t>Kategori</w:t>
            </w:r>
          </w:p>
        </w:tc>
        <w:tc>
          <w:tcPr>
            <w:tcW w:w="2362" w:type="dxa"/>
          </w:tcPr>
          <w:p w14:paraId="2EC10593" w14:textId="77777777" w:rsidR="007B6AA6" w:rsidRPr="00E5294F" w:rsidRDefault="007B6AA6" w:rsidP="00B01DF6">
            <w:pPr>
              <w:pStyle w:val="Brdtext"/>
              <w:keepLines/>
              <w:rPr>
                <w:b/>
              </w:rPr>
            </w:pPr>
            <w:r>
              <w:rPr>
                <w:b/>
              </w:rPr>
              <w:t>Upplösning</w:t>
            </w:r>
          </w:p>
        </w:tc>
        <w:tc>
          <w:tcPr>
            <w:tcW w:w="2410" w:type="dxa"/>
          </w:tcPr>
          <w:p w14:paraId="3DFFB22B" w14:textId="77777777" w:rsidR="007B6AA6" w:rsidRPr="00E5294F" w:rsidRDefault="007B6AA6" w:rsidP="00B01DF6">
            <w:pPr>
              <w:pStyle w:val="Brdtext"/>
              <w:keepLines/>
              <w:rPr>
                <w:b/>
              </w:rPr>
            </w:pPr>
            <w:r>
              <w:rPr>
                <w:b/>
              </w:rPr>
              <w:t>Samplingstid</w:t>
            </w:r>
          </w:p>
        </w:tc>
      </w:tr>
      <w:tr w:rsidR="007B6AA6" w:rsidRPr="00C32B5F" w14:paraId="25B73D80" w14:textId="77777777" w:rsidTr="00B01DF6">
        <w:trPr>
          <w:trHeight w:val="374"/>
        </w:trPr>
        <w:tc>
          <w:tcPr>
            <w:tcW w:w="2114" w:type="dxa"/>
            <w:vAlign w:val="center"/>
          </w:tcPr>
          <w:p w14:paraId="0E2ADBAB" w14:textId="77777777" w:rsidR="007B6AA6" w:rsidRPr="0016765B" w:rsidRDefault="007B6AA6" w:rsidP="00B01DF6">
            <w:pPr>
              <w:pStyle w:val="Brdtext"/>
              <w:keepNext/>
              <w:keepLines/>
              <w:spacing w:line="240" w:lineRule="auto"/>
              <w:rPr>
                <w:szCs w:val="20"/>
              </w:rPr>
            </w:pPr>
            <w:r>
              <w:t>N/A</w:t>
            </w:r>
          </w:p>
        </w:tc>
        <w:tc>
          <w:tcPr>
            <w:tcW w:w="2362" w:type="dxa"/>
            <w:vAlign w:val="center"/>
          </w:tcPr>
          <w:p w14:paraId="1D39D69C" w14:textId="5EB48056" w:rsidR="007B6AA6" w:rsidRDefault="007B6AA6" w:rsidP="00105105">
            <w:pPr>
              <w:pStyle w:val="Brdtext"/>
              <w:keepNext/>
              <w:keepLines/>
            </w:pPr>
            <w:r>
              <w:t>0,1 MW</w:t>
            </w:r>
          </w:p>
        </w:tc>
        <w:tc>
          <w:tcPr>
            <w:tcW w:w="2410" w:type="dxa"/>
            <w:vAlign w:val="center"/>
          </w:tcPr>
          <w:p w14:paraId="4EEAEDF2" w14:textId="7F34F9DF" w:rsidR="007B6AA6" w:rsidRDefault="00AB6B6D" w:rsidP="00B01DF6">
            <w:pPr>
              <w:pStyle w:val="Brdtext"/>
              <w:keepNext/>
              <w:keepLines/>
            </w:pPr>
            <w:r>
              <w:t>5</w:t>
            </w:r>
            <w:r w:rsidR="007B6AA6">
              <w:t xml:space="preserve"> s</w:t>
            </w:r>
          </w:p>
        </w:tc>
      </w:tr>
      <w:tr w:rsidR="007B6AA6" w14:paraId="471B777A" w14:textId="77777777" w:rsidTr="00B01DF6">
        <w:tc>
          <w:tcPr>
            <w:tcW w:w="2114" w:type="dxa"/>
            <w:vAlign w:val="center"/>
          </w:tcPr>
          <w:p w14:paraId="01BF1026" w14:textId="77777777" w:rsidR="007B6AA6" w:rsidRPr="0016765B" w:rsidRDefault="007B6AA6" w:rsidP="00B01DF6">
            <w:pPr>
              <w:pStyle w:val="Tabelltext"/>
              <w:keepNext/>
              <w:keepLines/>
              <w:rPr>
                <w:sz w:val="20"/>
                <w:szCs w:val="20"/>
              </w:rPr>
            </w:pPr>
          </w:p>
        </w:tc>
        <w:tc>
          <w:tcPr>
            <w:tcW w:w="2362" w:type="dxa"/>
            <w:vAlign w:val="center"/>
          </w:tcPr>
          <w:p w14:paraId="19DB4192" w14:textId="77777777" w:rsidR="007B6AA6" w:rsidRDefault="007B6AA6" w:rsidP="00B01DF6">
            <w:pPr>
              <w:pStyle w:val="Brdtext"/>
              <w:keepNext/>
              <w:keepLines/>
            </w:pPr>
          </w:p>
        </w:tc>
        <w:tc>
          <w:tcPr>
            <w:tcW w:w="2410" w:type="dxa"/>
            <w:vAlign w:val="center"/>
          </w:tcPr>
          <w:p w14:paraId="0B6F47A0" w14:textId="77777777" w:rsidR="007B6AA6" w:rsidRDefault="007B6AA6" w:rsidP="00B01DF6">
            <w:pPr>
              <w:pStyle w:val="Brdtext"/>
              <w:keepNext/>
              <w:keepLines/>
            </w:pPr>
          </w:p>
        </w:tc>
      </w:tr>
    </w:tbl>
    <w:p w14:paraId="339D0043" w14:textId="2DA76397" w:rsidR="007B6AA6" w:rsidRPr="00E5294F" w:rsidRDefault="007B6AA6" w:rsidP="007B6AA6">
      <w:pPr>
        <w:pStyle w:val="Brdtext"/>
      </w:pPr>
      <w:r>
        <w:t xml:space="preserve">Beroende på storlek på resursen så varierar kravet för mätnoggrannhet enligt </w:t>
      </w:r>
      <w:r>
        <w:fldChar w:fldCharType="begin"/>
      </w:r>
      <w:r>
        <w:instrText xml:space="preserve"> REF _Ref68161843 \h </w:instrText>
      </w:r>
      <w:r>
        <w:fldChar w:fldCharType="separate"/>
      </w:r>
      <w:r w:rsidR="00EA2A1C">
        <w:t xml:space="preserve">Tabell </w:t>
      </w:r>
      <w:r w:rsidR="00EA2A1C">
        <w:rPr>
          <w:noProof/>
        </w:rPr>
        <w:t>3</w:t>
      </w:r>
      <w:r>
        <w:fldChar w:fldCharType="end"/>
      </w:r>
      <w:r>
        <w:t>.</w:t>
      </w:r>
    </w:p>
    <w:p w14:paraId="401C7B24" w14:textId="582D0E82" w:rsidR="00A8669A" w:rsidRDefault="00A8669A" w:rsidP="00493232">
      <w:pPr>
        <w:pStyle w:val="Beskrivning"/>
        <w:keepNext/>
        <w:rPr>
          <w:szCs w:val="16"/>
        </w:rPr>
      </w:pPr>
      <w:bookmarkStart w:id="8" w:name="_Ref68161843"/>
      <w:r>
        <w:t xml:space="preserve">Tabell </w:t>
      </w:r>
      <w:r w:rsidR="003B076F">
        <w:fldChar w:fldCharType="begin"/>
      </w:r>
      <w:r w:rsidR="003B076F">
        <w:instrText xml:space="preserve"> SEQ Tabell \* ARABIC </w:instrText>
      </w:r>
      <w:r w:rsidR="003B076F">
        <w:fldChar w:fldCharType="separate"/>
      </w:r>
      <w:r w:rsidR="00875271">
        <w:rPr>
          <w:noProof/>
        </w:rPr>
        <w:t>3</w:t>
      </w:r>
      <w:r w:rsidR="003B076F">
        <w:rPr>
          <w:noProof/>
        </w:rPr>
        <w:fldChar w:fldCharType="end"/>
      </w:r>
      <w:bookmarkEnd w:id="8"/>
      <w:r>
        <w:t xml:space="preserve">. </w:t>
      </w:r>
      <w:r w:rsidR="003460A8">
        <w:t>Krav på mätnoggrannhet för aktiv effekt</w:t>
      </w:r>
      <w:r w:rsidRPr="00FB31E6">
        <w:rPr>
          <w:szCs w:val="16"/>
        </w:rPr>
        <w:t>.</w:t>
      </w:r>
    </w:p>
    <w:tbl>
      <w:tblPr>
        <w:tblStyle w:val="SvKTabellformat"/>
        <w:tblW w:w="7028" w:type="dxa"/>
        <w:tblLook w:val="04A0" w:firstRow="1" w:lastRow="0" w:firstColumn="1" w:lastColumn="0" w:noHBand="0" w:noVBand="1"/>
      </w:tblPr>
      <w:tblGrid>
        <w:gridCol w:w="2208"/>
        <w:gridCol w:w="2268"/>
        <w:gridCol w:w="2552"/>
      </w:tblGrid>
      <w:tr w:rsidR="00BC0425" w:rsidRPr="00E5294F" w14:paraId="3FC3F6EC" w14:textId="77777777" w:rsidTr="00E76FA3">
        <w:trPr>
          <w:cnfStyle w:val="100000000000" w:firstRow="1" w:lastRow="0" w:firstColumn="0" w:lastColumn="0" w:oddVBand="0" w:evenVBand="0" w:oddHBand="0" w:evenHBand="0" w:firstRowFirstColumn="0" w:firstRowLastColumn="0" w:lastRowFirstColumn="0" w:lastRowLastColumn="0"/>
        </w:trPr>
        <w:tc>
          <w:tcPr>
            <w:tcW w:w="2208" w:type="dxa"/>
          </w:tcPr>
          <w:p w14:paraId="1A04A463" w14:textId="77777777" w:rsidR="00BC0425" w:rsidRPr="00E5294F" w:rsidRDefault="00BC0425" w:rsidP="00B01DF6">
            <w:pPr>
              <w:pStyle w:val="Brdtext"/>
              <w:keepLines/>
              <w:rPr>
                <w:b/>
              </w:rPr>
            </w:pPr>
            <w:r w:rsidRPr="00E5294F">
              <w:rPr>
                <w:b/>
              </w:rPr>
              <w:t>Kategori</w:t>
            </w:r>
          </w:p>
        </w:tc>
        <w:tc>
          <w:tcPr>
            <w:tcW w:w="2268" w:type="dxa"/>
          </w:tcPr>
          <w:p w14:paraId="3F233950" w14:textId="77777777" w:rsidR="00BC0425" w:rsidRPr="00E5294F" w:rsidRDefault="00BC0425" w:rsidP="00B01DF6">
            <w:pPr>
              <w:pStyle w:val="Brdtext"/>
              <w:keepLines/>
              <w:rPr>
                <w:b/>
              </w:rPr>
            </w:pPr>
            <w:r>
              <w:rPr>
                <w:b/>
              </w:rPr>
              <w:t>Märkeffekt</w:t>
            </w:r>
          </w:p>
        </w:tc>
        <w:tc>
          <w:tcPr>
            <w:tcW w:w="2552" w:type="dxa"/>
          </w:tcPr>
          <w:p w14:paraId="455A999D" w14:textId="77777777" w:rsidR="00BC0425" w:rsidRPr="00E5294F" w:rsidRDefault="00BC0425" w:rsidP="00B01DF6">
            <w:pPr>
              <w:pStyle w:val="Brdtext"/>
              <w:keepLines/>
              <w:rPr>
                <w:b/>
              </w:rPr>
            </w:pPr>
            <w:r w:rsidRPr="00E5294F">
              <w:rPr>
                <w:b/>
              </w:rPr>
              <w:t>Noggrannhet</w:t>
            </w:r>
          </w:p>
        </w:tc>
      </w:tr>
      <w:tr w:rsidR="00BC0425" w14:paraId="1008F1E4" w14:textId="77777777" w:rsidTr="00E76FA3">
        <w:trPr>
          <w:trHeight w:val="374"/>
        </w:trPr>
        <w:tc>
          <w:tcPr>
            <w:tcW w:w="2208" w:type="dxa"/>
            <w:vAlign w:val="center"/>
          </w:tcPr>
          <w:p w14:paraId="5BE4A23C" w14:textId="10755F80" w:rsidR="00BC0425" w:rsidRPr="00697C70" w:rsidRDefault="00697C70" w:rsidP="00B01DF6">
            <w:pPr>
              <w:pStyle w:val="Tabelltext"/>
              <w:keepNext/>
              <w:keepLines/>
              <w:rPr>
                <w:sz w:val="20"/>
                <w:szCs w:val="20"/>
              </w:rPr>
            </w:pPr>
            <w:r w:rsidRPr="00697C70">
              <w:rPr>
                <w:sz w:val="20"/>
                <w:szCs w:val="20"/>
              </w:rPr>
              <w:t>A</w:t>
            </w:r>
          </w:p>
        </w:tc>
        <w:tc>
          <w:tcPr>
            <w:tcW w:w="2268" w:type="dxa"/>
            <w:vAlign w:val="center"/>
          </w:tcPr>
          <w:p w14:paraId="6D30C437" w14:textId="62871DC3" w:rsidR="00BC0425" w:rsidRPr="00697C70" w:rsidRDefault="00697C70" w:rsidP="00B01DF6">
            <w:pPr>
              <w:pStyle w:val="Brdtext"/>
              <w:keepNext/>
              <w:keepLines/>
            </w:pPr>
            <w:r w:rsidRPr="00697C70">
              <w:t>P &lt; 1,5 MW</w:t>
            </w:r>
          </w:p>
        </w:tc>
        <w:tc>
          <w:tcPr>
            <w:tcW w:w="2552" w:type="dxa"/>
            <w:vAlign w:val="center"/>
          </w:tcPr>
          <w:p w14:paraId="02E46BD1" w14:textId="0BE3082B" w:rsidR="00BC0425" w:rsidRDefault="00BC0425" w:rsidP="00B01DF6">
            <w:pPr>
              <w:pStyle w:val="Brdtext"/>
              <w:keepNext/>
              <w:keepLines/>
            </w:pPr>
            <m:oMath>
              <m:r>
                <w:rPr>
                  <w:rFonts w:ascii="Cambria Math" w:hAnsi="Cambria Math"/>
                </w:rPr>
                <m:t>±</m:t>
              </m:r>
            </m:oMath>
            <w:r>
              <w:t xml:space="preserve"> 5</w:t>
            </w:r>
            <w:r w:rsidR="00DA1654">
              <w:t xml:space="preserve"> </w:t>
            </w:r>
            <w:r>
              <w:t xml:space="preserve">% </w:t>
            </w:r>
          </w:p>
        </w:tc>
      </w:tr>
      <w:tr w:rsidR="00697C70" w14:paraId="1B64A2B8" w14:textId="77777777" w:rsidTr="00E76FA3">
        <w:tc>
          <w:tcPr>
            <w:tcW w:w="2208" w:type="dxa"/>
            <w:vAlign w:val="center"/>
          </w:tcPr>
          <w:p w14:paraId="42347DD0" w14:textId="1FD119A5" w:rsidR="00697C70" w:rsidRPr="00697C70" w:rsidRDefault="00697C70" w:rsidP="00697C70">
            <w:pPr>
              <w:pStyle w:val="Tabelltext"/>
              <w:keepNext/>
              <w:keepLines/>
              <w:rPr>
                <w:sz w:val="20"/>
                <w:szCs w:val="20"/>
              </w:rPr>
            </w:pPr>
            <w:r w:rsidRPr="00697C70">
              <w:rPr>
                <w:sz w:val="20"/>
                <w:szCs w:val="20"/>
              </w:rPr>
              <w:t>B</w:t>
            </w:r>
          </w:p>
        </w:tc>
        <w:tc>
          <w:tcPr>
            <w:tcW w:w="2268" w:type="dxa"/>
            <w:vAlign w:val="center"/>
          </w:tcPr>
          <w:p w14:paraId="72CB7811" w14:textId="392A57C3" w:rsidR="00697C70" w:rsidRPr="00697C70" w:rsidRDefault="00697C70" w:rsidP="00697C70">
            <w:pPr>
              <w:pStyle w:val="Brdtext"/>
              <w:keepNext/>
              <w:keepLines/>
            </w:pPr>
            <w:r w:rsidRPr="00697C70">
              <w:t xml:space="preserve">1,5  </w:t>
            </w:r>
            <m:oMath>
              <m:r>
                <m:rPr>
                  <m:sty m:val="p"/>
                </m:rPr>
                <w:rPr>
                  <w:rFonts w:ascii="Cambria Math" w:hAnsi="Cambria Math" w:cs="Arial"/>
                </w:rPr>
                <m:t>≤</m:t>
              </m:r>
            </m:oMath>
            <w:r w:rsidRPr="00697C70">
              <w:t xml:space="preserve"> P &lt; 10 MW</w:t>
            </w:r>
          </w:p>
        </w:tc>
        <w:tc>
          <w:tcPr>
            <w:tcW w:w="2552" w:type="dxa"/>
            <w:vAlign w:val="center"/>
          </w:tcPr>
          <w:p w14:paraId="02CA0669" w14:textId="0F98405D" w:rsidR="00697C70" w:rsidRDefault="00697C70" w:rsidP="00697C70">
            <w:pPr>
              <w:pStyle w:val="Brdtext"/>
              <w:keepNext/>
              <w:keepLines/>
            </w:pPr>
            <m:oMath>
              <m:r>
                <w:rPr>
                  <w:rFonts w:ascii="Cambria Math" w:hAnsi="Cambria Math"/>
                </w:rPr>
                <m:t>±</m:t>
              </m:r>
            </m:oMath>
            <w:r>
              <w:t xml:space="preserve"> 1 %</w:t>
            </w:r>
          </w:p>
        </w:tc>
      </w:tr>
      <w:tr w:rsidR="00697C70" w14:paraId="656E2808" w14:textId="77777777" w:rsidTr="00E76FA3">
        <w:tc>
          <w:tcPr>
            <w:tcW w:w="2208" w:type="dxa"/>
            <w:vAlign w:val="center"/>
          </w:tcPr>
          <w:p w14:paraId="7EC325A3" w14:textId="1EEC09E3" w:rsidR="00697C70" w:rsidRPr="00697C70" w:rsidRDefault="00697C70" w:rsidP="00697C70">
            <w:pPr>
              <w:pStyle w:val="Tabelltext"/>
              <w:keepNext/>
              <w:keepLines/>
              <w:rPr>
                <w:sz w:val="20"/>
                <w:szCs w:val="20"/>
              </w:rPr>
            </w:pPr>
            <w:r w:rsidRPr="00697C70">
              <w:rPr>
                <w:sz w:val="20"/>
                <w:szCs w:val="20"/>
              </w:rPr>
              <w:t>C+D</w:t>
            </w:r>
          </w:p>
        </w:tc>
        <w:tc>
          <w:tcPr>
            <w:tcW w:w="2268" w:type="dxa"/>
            <w:vAlign w:val="center"/>
          </w:tcPr>
          <w:p w14:paraId="1F87E949" w14:textId="3CC7E989" w:rsidR="00697C70" w:rsidRPr="00697C70" w:rsidRDefault="00697C70" w:rsidP="00697C70">
            <w:pPr>
              <w:pStyle w:val="Brdtext"/>
              <w:keepNext/>
              <w:keepLines/>
            </w:pPr>
            <m:oMath>
              <m:r>
                <w:rPr>
                  <w:rFonts w:ascii="Cambria Math" w:hAnsi="Cambria Math"/>
                </w:rPr>
                <m:t>≥</m:t>
              </m:r>
            </m:oMath>
            <w:r w:rsidRPr="00697C70">
              <w:t xml:space="preserve"> 10 MW</w:t>
            </w:r>
          </w:p>
        </w:tc>
        <w:tc>
          <w:tcPr>
            <w:tcW w:w="2552" w:type="dxa"/>
            <w:vAlign w:val="center"/>
          </w:tcPr>
          <w:p w14:paraId="3C0D4DCB" w14:textId="77777777" w:rsidR="00697C70" w:rsidRDefault="00697C70" w:rsidP="00697C70">
            <w:pPr>
              <w:pStyle w:val="Brdtext"/>
              <w:keepNext/>
              <w:keepLines/>
            </w:pPr>
            <m:oMath>
              <m:r>
                <w:rPr>
                  <w:rFonts w:ascii="Cambria Math" w:hAnsi="Cambria Math"/>
                </w:rPr>
                <m:t>±</m:t>
              </m:r>
            </m:oMath>
            <w:r>
              <w:t xml:space="preserve"> 0,5 %</w:t>
            </w:r>
          </w:p>
        </w:tc>
      </w:tr>
      <w:tr w:rsidR="00697C70" w14:paraId="0B75DE43" w14:textId="77777777" w:rsidTr="00E76FA3">
        <w:tc>
          <w:tcPr>
            <w:tcW w:w="2208" w:type="dxa"/>
            <w:vAlign w:val="center"/>
          </w:tcPr>
          <w:p w14:paraId="75227B00" w14:textId="77777777" w:rsidR="00697C70" w:rsidRDefault="00697C70" w:rsidP="00697C70">
            <w:pPr>
              <w:pStyle w:val="Tabelltext"/>
              <w:keepNext/>
              <w:keepLines/>
              <w:rPr>
                <w:sz w:val="20"/>
                <w:szCs w:val="20"/>
              </w:rPr>
            </w:pPr>
          </w:p>
        </w:tc>
        <w:tc>
          <w:tcPr>
            <w:tcW w:w="2268" w:type="dxa"/>
            <w:vAlign w:val="center"/>
          </w:tcPr>
          <w:p w14:paraId="46D5AB4E" w14:textId="77777777" w:rsidR="00697C70" w:rsidRDefault="00697C70" w:rsidP="00697C70">
            <w:pPr>
              <w:pStyle w:val="Brdtext"/>
              <w:keepNext/>
              <w:keepLines/>
            </w:pPr>
          </w:p>
        </w:tc>
        <w:tc>
          <w:tcPr>
            <w:tcW w:w="2552" w:type="dxa"/>
            <w:vAlign w:val="center"/>
          </w:tcPr>
          <w:p w14:paraId="0E19B65E" w14:textId="77777777" w:rsidR="00697C70" w:rsidRDefault="00697C70" w:rsidP="00697C70">
            <w:pPr>
              <w:pStyle w:val="Brdtext"/>
              <w:keepNext/>
              <w:keepLines/>
            </w:pPr>
          </w:p>
        </w:tc>
      </w:tr>
    </w:tbl>
    <w:p w14:paraId="3AAAE930" w14:textId="589880E0" w:rsidR="005533F6" w:rsidRDefault="00BA687E" w:rsidP="005533F6">
      <w:pPr>
        <w:pStyle w:val="Rubrik2"/>
      </w:pPr>
      <w:r>
        <w:t>1.8 Beräkning av tillgänglig kapacitet</w:t>
      </w:r>
    </w:p>
    <w:p w14:paraId="3B74DF54" w14:textId="562F5ABE" w:rsidR="00BA687E" w:rsidRDefault="00BA687E" w:rsidP="005E09D9">
      <w:pPr>
        <w:pStyle w:val="Brdtext"/>
      </w:pPr>
      <w:r>
        <w:t>Beräkning av tillgänglig kapacitet görs enligt Ekvation 1 – Ekvation 4. Om en mer precis metod för a</w:t>
      </w:r>
      <w:r w:rsidR="004F3CF6">
        <w:t>tt</w:t>
      </w:r>
      <w:r>
        <w:t xml:space="preserve"> beräkna tillgänglig kapacitet finns tillgänglig kan denna användas. I så fall ska beräkningsmetoden redogöras för i ansökningsformuläret och godkännas av Svenska kraftnät vid förkvalificeringen.</w:t>
      </w:r>
    </w:p>
    <w:p w14:paraId="3315F30B" w14:textId="0EAC8666" w:rsidR="00BA687E" w:rsidRPr="002607A6" w:rsidRDefault="00BA687E" w:rsidP="004F3CF6">
      <w:pPr>
        <w:pStyle w:val="Brdtext"/>
      </w:pPr>
      <w:r>
        <w:t xml:space="preserve">Ekvation 1: Beräkning av tillgänglig kapacitet för </w:t>
      </w:r>
      <m:oMath>
        <m:sSubSup>
          <m:sSubSupPr>
            <m:ctrlPr>
              <w:rPr>
                <w:rFonts w:ascii="Cambria Math" w:hAnsi="Cambria Math"/>
                <w:i/>
              </w:rPr>
            </m:ctrlPr>
          </m:sSubSupPr>
          <m:e>
            <m:r>
              <w:rPr>
                <w:rFonts w:ascii="Cambria Math" w:hAnsi="Cambria Math"/>
              </w:rPr>
              <m:t>aFRR</m:t>
            </m:r>
          </m:e>
          <m:sub>
            <m:r>
              <w:rPr>
                <w:rFonts w:ascii="Cambria Math" w:hAnsi="Cambria Math"/>
              </w:rPr>
              <m:t>i</m:t>
            </m:r>
          </m:sub>
          <m:sup>
            <m:r>
              <w:rPr>
                <w:rFonts w:ascii="Cambria Math" w:hAnsi="Cambria Math"/>
              </w:rPr>
              <m:t>upp</m:t>
            </m:r>
          </m:sup>
        </m:sSubSup>
      </m:oMath>
      <w:r>
        <w:t>:</w:t>
      </w:r>
    </w:p>
    <w:p w14:paraId="54BF2D76" w14:textId="48AED4D4" w:rsidR="00BA687E" w:rsidRPr="00546F93" w:rsidRDefault="003B076F" w:rsidP="00BA687E">
      <w:pPr>
        <w:pStyle w:val="Punktlista"/>
        <w:numPr>
          <w:ilvl w:val="0"/>
          <w:numId w:val="0"/>
        </w:numPr>
        <w:spacing w:line="360" w:lineRule="auto"/>
        <w:ind w:left="360"/>
        <w:rPr>
          <w:i/>
        </w:rPr>
      </w:pPr>
      <m:oMathPara>
        <m:oMathParaPr>
          <m:jc m:val="left"/>
        </m:oMathParaPr>
        <m:oMath>
          <m:sSubSup>
            <m:sSubSupPr>
              <m:ctrlPr>
                <w:rPr>
                  <w:rFonts w:ascii="Cambria Math" w:hAnsi="Cambria Math"/>
                  <w:i/>
                </w:rPr>
              </m:ctrlPr>
            </m:sSubSupPr>
            <m:e>
              <m:r>
                <w:rPr>
                  <w:rFonts w:ascii="Cambria Math" w:hAnsi="Cambria Math"/>
                </w:rPr>
                <m:t>aFRR</m:t>
              </m:r>
            </m:e>
            <m:sub>
              <m:r>
                <w:rPr>
                  <w:rFonts w:ascii="Cambria Math" w:hAnsi="Cambria Math"/>
                </w:rPr>
                <m:t>i</m:t>
              </m:r>
            </m:sub>
            <m:sup>
              <m:r>
                <w:rPr>
                  <w:rFonts w:ascii="Cambria Math" w:hAnsi="Cambria Math"/>
                </w:rPr>
                <m:t>upp</m:t>
              </m:r>
            </m:sup>
          </m:sSubSup>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min</m:t>
                  </m:r>
                  <m:d>
                    <m:dPr>
                      <m:ctrlPr>
                        <w:rPr>
                          <w:rFonts w:ascii="Cambria Math" w:hAnsi="Cambria Math"/>
                          <w:i/>
                        </w:rPr>
                      </m:ctrlPr>
                    </m:dPr>
                    <m:e>
                      <m:r>
                        <w:rPr>
                          <w:rFonts w:ascii="Cambria Math" w:hAnsi="Cambria Math"/>
                        </w:rPr>
                        <m:t>aFR</m:t>
                      </m:r>
                      <m:sSubSup>
                        <m:sSubSupPr>
                          <m:ctrlPr>
                            <w:rPr>
                              <w:rFonts w:ascii="Cambria Math" w:hAnsi="Cambria Math"/>
                              <w:i/>
                            </w:rPr>
                          </m:ctrlPr>
                        </m:sSubSupPr>
                        <m:e>
                          <m:r>
                            <w:rPr>
                              <w:rFonts w:ascii="Cambria Math" w:hAnsi="Cambria Math"/>
                            </w:rPr>
                            <m:t>R</m:t>
                          </m:r>
                        </m:e>
                        <m:sub>
                          <m:r>
                            <w:rPr>
                              <w:rFonts w:ascii="Cambria Math" w:hAnsi="Cambria Math"/>
                            </w:rPr>
                            <m:t>i, såld</m:t>
                          </m:r>
                        </m:sub>
                        <m:sup>
                          <m:r>
                            <w:rPr>
                              <w:rFonts w:ascii="Cambria Math" w:hAnsi="Cambria Math"/>
                            </w:rPr>
                            <m:t>upp</m:t>
                          </m:r>
                        </m:sup>
                      </m:sSubSup>
                      <m:r>
                        <w:rPr>
                          <w:rFonts w:ascii="Cambria Math" w:hAnsi="Cambria Math"/>
                        </w:rPr>
                        <m:t>; ∆</m:t>
                      </m:r>
                      <m:sSub>
                        <m:sSubPr>
                          <m:ctrlPr>
                            <w:rPr>
                              <w:rFonts w:ascii="Cambria Math" w:hAnsi="Cambria Math"/>
                              <w:i/>
                            </w:rPr>
                          </m:ctrlPr>
                        </m:sSubPr>
                        <m:e>
                          <m:r>
                            <w:rPr>
                              <w:rFonts w:ascii="Cambria Math" w:hAnsi="Cambria Math"/>
                            </w:rPr>
                            <m:t>P</m:t>
                          </m:r>
                        </m:e>
                        <m:sub>
                          <m:func>
                            <m:funcPr>
                              <m:ctrlPr>
                                <w:rPr>
                                  <w:rFonts w:ascii="Cambria Math" w:hAnsi="Cambria Math"/>
                                  <w:i/>
                                </w:rPr>
                              </m:ctrlPr>
                            </m:funcPr>
                            <m:fName>
                              <m:r>
                                <w:rPr>
                                  <w:rFonts w:ascii="Cambria Math" w:hAnsi="Cambria Math"/>
                                </w:rPr>
                                <m:t>i, max</m:t>
                              </m:r>
                            </m:fName>
                            <m:e>
                              <m:r>
                                <w:rPr>
                                  <w:rFonts w:ascii="Cambria Math" w:hAnsi="Cambria Math"/>
                                </w:rPr>
                                <m:t>upp</m:t>
                              </m:r>
                            </m:e>
                          </m:func>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 stödtjänst</m:t>
                          </m:r>
                        </m:sub>
                        <m:sup>
                          <m:r>
                            <w:rPr>
                              <w:rFonts w:ascii="Cambria Math" w:hAnsi="Cambria Math"/>
                            </w:rPr>
                            <m:t>upp</m:t>
                          </m:r>
                        </m:sup>
                      </m:sSubSup>
                    </m:e>
                  </m:d>
                  <m:r>
                    <w:rPr>
                      <w:rFonts w:ascii="Cambria Math" w:hAnsi="Cambria Math"/>
                    </w:rPr>
                    <m:t>;0</m:t>
                  </m:r>
                </m:e>
              </m:d>
            </m:e>
          </m:func>
        </m:oMath>
      </m:oMathPara>
    </w:p>
    <w:p w14:paraId="1B033924" w14:textId="793C47FC" w:rsidR="00BA687E" w:rsidRDefault="00BA687E">
      <w:pPr>
        <w:pStyle w:val="Punktlista"/>
        <w:numPr>
          <w:ilvl w:val="0"/>
          <w:numId w:val="0"/>
        </w:numPr>
        <w:spacing w:line="360" w:lineRule="auto"/>
        <w:rPr>
          <w:i/>
        </w:rPr>
      </w:pPr>
      <w:r w:rsidRPr="004F3CF6">
        <w:t>Ekvation</w:t>
      </w:r>
      <w:r>
        <w:t xml:space="preserve"> 2: Beräkning av tillgänglig kapacitet för </w:t>
      </w:r>
      <m:oMath>
        <m:r>
          <w:rPr>
            <w:rFonts w:ascii="Cambria Math" w:hAnsi="Cambria Math"/>
          </w:rPr>
          <m:t>aFR</m:t>
        </m:r>
        <m:sSubSup>
          <m:sSubSupPr>
            <m:ctrlPr>
              <w:rPr>
                <w:rFonts w:ascii="Cambria Math" w:hAnsi="Cambria Math"/>
                <w:i/>
              </w:rPr>
            </m:ctrlPr>
          </m:sSubSupPr>
          <m:e>
            <m:r>
              <w:rPr>
                <w:rFonts w:ascii="Cambria Math" w:hAnsi="Cambria Math"/>
              </w:rPr>
              <m:t>R</m:t>
            </m:r>
          </m:e>
          <m:sub>
            <m:r>
              <w:rPr>
                <w:rFonts w:ascii="Cambria Math" w:hAnsi="Cambria Math"/>
              </w:rPr>
              <m:t>total</m:t>
            </m:r>
          </m:sub>
          <m:sup>
            <m:r>
              <w:rPr>
                <w:rFonts w:ascii="Cambria Math" w:hAnsi="Cambria Math"/>
              </w:rPr>
              <m:t>upp</m:t>
            </m:r>
          </m:sup>
        </m:sSubSup>
      </m:oMath>
      <w:r>
        <w:t>:</w:t>
      </w:r>
      <w:r>
        <w:rPr>
          <w:i/>
        </w:rPr>
        <w:t xml:space="preserve"> </w:t>
      </w:r>
    </w:p>
    <w:p w14:paraId="453FE11B" w14:textId="4062F289" w:rsidR="00BA687E" w:rsidRPr="002607A6" w:rsidRDefault="00BA687E" w:rsidP="00BA687E">
      <w:pPr>
        <w:pStyle w:val="Punktlista"/>
        <w:numPr>
          <w:ilvl w:val="0"/>
          <w:numId w:val="0"/>
        </w:numPr>
        <w:spacing w:line="360" w:lineRule="auto"/>
        <w:ind w:left="360"/>
        <w:rPr>
          <w:i/>
        </w:rPr>
      </w:pPr>
      <m:oMathPara>
        <m:oMathParaPr>
          <m:jc m:val="left"/>
        </m:oMathParaPr>
        <m:oMath>
          <m:r>
            <w:rPr>
              <w:rFonts w:ascii="Cambria Math" w:hAnsi="Cambria Math"/>
            </w:rPr>
            <m:t>aFR</m:t>
          </m:r>
          <m:sSubSup>
            <m:sSubSupPr>
              <m:ctrlPr>
                <w:rPr>
                  <w:rFonts w:ascii="Cambria Math" w:hAnsi="Cambria Math"/>
                  <w:i/>
                </w:rPr>
              </m:ctrlPr>
            </m:sSubSupPr>
            <m:e>
              <m:r>
                <w:rPr>
                  <w:rFonts w:ascii="Cambria Math" w:hAnsi="Cambria Math"/>
                </w:rPr>
                <m:t>R</m:t>
              </m:r>
            </m:e>
            <m:sub>
              <m:r>
                <w:rPr>
                  <w:rFonts w:ascii="Cambria Math" w:hAnsi="Cambria Math"/>
                </w:rPr>
                <m:t>total</m:t>
              </m:r>
            </m:sub>
            <m:sup>
              <m:r>
                <w:rPr>
                  <w:rFonts w:ascii="Cambria Math" w:hAnsi="Cambria Math"/>
                </w:rPr>
                <m:t>upp</m:t>
              </m:r>
            </m:sup>
          </m:sSubSup>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aFR</m:t>
              </m:r>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upp</m:t>
                  </m:r>
                </m:sup>
              </m:sSubSup>
            </m:e>
          </m:nary>
        </m:oMath>
      </m:oMathPara>
    </w:p>
    <w:p w14:paraId="3F4A4846" w14:textId="77777777" w:rsidR="004F3CF6" w:rsidRDefault="004F3CF6" w:rsidP="00BA687E">
      <w:pPr>
        <w:pStyle w:val="Brdtext"/>
      </w:pPr>
    </w:p>
    <w:p w14:paraId="52A001DF" w14:textId="4D7291A5" w:rsidR="00BA687E" w:rsidRPr="0011678F" w:rsidRDefault="00BA687E" w:rsidP="00BA687E">
      <w:pPr>
        <w:pStyle w:val="Brdtext"/>
      </w:pPr>
      <w:r>
        <w:lastRenderedPageBreak/>
        <w:t xml:space="preserve">Ekvation 3: Beräkning av tillgänglig kapacitet för </w:t>
      </w:r>
      <m:oMath>
        <m:sSubSup>
          <m:sSubSupPr>
            <m:ctrlPr>
              <w:rPr>
                <w:rFonts w:ascii="Cambria Math" w:hAnsi="Cambria Math"/>
                <w:i/>
              </w:rPr>
            </m:ctrlPr>
          </m:sSubSupPr>
          <m:e>
            <m:r>
              <w:rPr>
                <w:rFonts w:ascii="Cambria Math" w:hAnsi="Cambria Math"/>
              </w:rPr>
              <m:t>aFRR</m:t>
            </m:r>
          </m:e>
          <m:sub>
            <m:r>
              <w:rPr>
                <w:rFonts w:ascii="Cambria Math" w:hAnsi="Cambria Math"/>
              </w:rPr>
              <m:t>i</m:t>
            </m:r>
          </m:sub>
          <m:sup>
            <m:r>
              <w:rPr>
                <w:rFonts w:ascii="Cambria Math" w:hAnsi="Cambria Math"/>
              </w:rPr>
              <m:t>ned</m:t>
            </m:r>
          </m:sup>
        </m:sSubSup>
      </m:oMath>
      <w:r>
        <w:t>:</w:t>
      </w:r>
    </w:p>
    <w:p w14:paraId="3EABAF76" w14:textId="7F06330E" w:rsidR="00BA687E" w:rsidRPr="00546F93" w:rsidRDefault="003B076F" w:rsidP="00BA687E">
      <w:pPr>
        <w:pStyle w:val="Punktlista"/>
        <w:numPr>
          <w:ilvl w:val="0"/>
          <w:numId w:val="0"/>
        </w:numPr>
        <w:spacing w:line="360" w:lineRule="auto"/>
        <w:ind w:left="360"/>
        <w:rPr>
          <w:i/>
        </w:rPr>
      </w:pPr>
      <m:oMathPara>
        <m:oMathParaPr>
          <m:jc m:val="left"/>
        </m:oMathParaPr>
        <m:oMath>
          <m:sSubSup>
            <m:sSubSupPr>
              <m:ctrlPr>
                <w:rPr>
                  <w:rFonts w:ascii="Cambria Math" w:hAnsi="Cambria Math"/>
                  <w:i/>
                </w:rPr>
              </m:ctrlPr>
            </m:sSubSupPr>
            <m:e>
              <m:r>
                <w:rPr>
                  <w:rFonts w:ascii="Cambria Math" w:hAnsi="Cambria Math"/>
                </w:rPr>
                <m:t>aFRR</m:t>
              </m:r>
            </m:e>
            <m:sub>
              <m:r>
                <w:rPr>
                  <w:rFonts w:ascii="Cambria Math" w:hAnsi="Cambria Math"/>
                </w:rPr>
                <m:t>i</m:t>
              </m:r>
            </m:sub>
            <m:sup>
              <m:r>
                <w:rPr>
                  <w:rFonts w:ascii="Cambria Math" w:hAnsi="Cambria Math"/>
                </w:rPr>
                <m:t>ned</m:t>
              </m:r>
            </m:sup>
          </m:sSubSup>
          <m:r>
            <w:rPr>
              <w:rFonts w:ascii="Cambria Math" w:hAnsi="Cambria Math"/>
            </w:rPr>
            <m:t>=max⁡</m:t>
          </m:r>
          <m:d>
            <m:dPr>
              <m:ctrlPr>
                <w:rPr>
                  <w:rFonts w:ascii="Cambria Math" w:hAnsi="Cambria Math"/>
                  <w:i/>
                </w:rPr>
              </m:ctrlPr>
            </m:dPr>
            <m:e>
              <m:r>
                <w:rPr>
                  <w:rFonts w:ascii="Cambria Math" w:hAnsi="Cambria Math"/>
                </w:rPr>
                <m:t>min</m:t>
              </m:r>
              <m:d>
                <m:dPr>
                  <m:ctrlPr>
                    <w:rPr>
                      <w:rFonts w:ascii="Cambria Math" w:hAnsi="Cambria Math"/>
                      <w:i/>
                    </w:rPr>
                  </m:ctrlPr>
                </m:dPr>
                <m:e>
                  <m:r>
                    <w:rPr>
                      <w:rFonts w:ascii="Cambria Math" w:hAnsi="Cambria Math"/>
                    </w:rPr>
                    <m:t>aFR</m:t>
                  </m:r>
                  <m:sSubSup>
                    <m:sSubSupPr>
                      <m:ctrlPr>
                        <w:rPr>
                          <w:rFonts w:ascii="Cambria Math" w:hAnsi="Cambria Math"/>
                          <w:i/>
                        </w:rPr>
                      </m:ctrlPr>
                    </m:sSubSupPr>
                    <m:e>
                      <m:r>
                        <w:rPr>
                          <w:rFonts w:ascii="Cambria Math" w:hAnsi="Cambria Math"/>
                        </w:rPr>
                        <m:t>R</m:t>
                      </m:r>
                    </m:e>
                    <m:sub>
                      <m:r>
                        <w:rPr>
                          <w:rFonts w:ascii="Cambria Math" w:hAnsi="Cambria Math"/>
                        </w:rPr>
                        <m:t>i, såld</m:t>
                      </m:r>
                    </m:sub>
                    <m:sup>
                      <m:r>
                        <w:rPr>
                          <w:rFonts w:ascii="Cambria Math" w:hAnsi="Cambria Math"/>
                        </w:rPr>
                        <m:t>ned</m:t>
                      </m:r>
                    </m:sup>
                  </m:sSubSup>
                  <m:r>
                    <w:rPr>
                      <w:rFonts w:ascii="Cambria Math" w:hAnsi="Cambria Math"/>
                    </w:rPr>
                    <m:t>; ∆</m:t>
                  </m:r>
                  <m:sSub>
                    <m:sSubPr>
                      <m:ctrlPr>
                        <w:rPr>
                          <w:rFonts w:ascii="Cambria Math" w:hAnsi="Cambria Math"/>
                          <w:i/>
                        </w:rPr>
                      </m:ctrlPr>
                    </m:sSubPr>
                    <m:e>
                      <m:r>
                        <w:rPr>
                          <w:rFonts w:ascii="Cambria Math" w:hAnsi="Cambria Math"/>
                        </w:rPr>
                        <m:t>P</m:t>
                      </m:r>
                    </m:e>
                    <m:sub>
                      <m:func>
                        <m:funcPr>
                          <m:ctrlPr>
                            <w:rPr>
                              <w:rFonts w:ascii="Cambria Math" w:hAnsi="Cambria Math"/>
                              <w:i/>
                            </w:rPr>
                          </m:ctrlPr>
                        </m:funcPr>
                        <m:fName>
                          <m:r>
                            <w:rPr>
                              <w:rFonts w:ascii="Cambria Math" w:hAnsi="Cambria Math"/>
                            </w:rPr>
                            <m:t>i, max</m:t>
                          </m:r>
                        </m:fName>
                        <m:e>
                          <m:r>
                            <w:rPr>
                              <w:rFonts w:ascii="Cambria Math" w:hAnsi="Cambria Math"/>
                            </w:rPr>
                            <m:t>ned</m:t>
                          </m:r>
                        </m:e>
                      </m:func>
                    </m:sub>
                  </m:sSub>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 stödtjänst</m:t>
                      </m:r>
                    </m:sub>
                    <m:sup>
                      <m:r>
                        <w:rPr>
                          <w:rFonts w:ascii="Cambria Math" w:hAnsi="Cambria Math"/>
                        </w:rPr>
                        <m:t>ned</m:t>
                      </m:r>
                    </m:sup>
                  </m:sSubSup>
                </m:e>
              </m:d>
              <m:r>
                <w:rPr>
                  <w:rFonts w:ascii="Cambria Math" w:hAnsi="Cambria Math"/>
                </w:rPr>
                <m:t>;0</m:t>
              </m:r>
            </m:e>
          </m:d>
        </m:oMath>
      </m:oMathPara>
    </w:p>
    <w:p w14:paraId="505585B8" w14:textId="5EC01E08" w:rsidR="00BA687E" w:rsidRDefault="00BA687E">
      <w:pPr>
        <w:pStyle w:val="Punktlista"/>
        <w:numPr>
          <w:ilvl w:val="0"/>
          <w:numId w:val="0"/>
        </w:numPr>
        <w:spacing w:line="360" w:lineRule="auto"/>
        <w:rPr>
          <w:i/>
        </w:rPr>
      </w:pPr>
      <w:r w:rsidRPr="0011678F">
        <w:t>Ekvation</w:t>
      </w:r>
      <w:r>
        <w:t xml:space="preserve"> 4: Beräkning av tillgänglig kapacitet för </w:t>
      </w:r>
      <m:oMath>
        <m:r>
          <w:rPr>
            <w:rFonts w:ascii="Cambria Math" w:hAnsi="Cambria Math"/>
          </w:rPr>
          <m:t>aFR</m:t>
        </m:r>
        <m:sSubSup>
          <m:sSubSupPr>
            <m:ctrlPr>
              <w:rPr>
                <w:rFonts w:ascii="Cambria Math" w:hAnsi="Cambria Math"/>
                <w:i/>
              </w:rPr>
            </m:ctrlPr>
          </m:sSubSupPr>
          <m:e>
            <m:r>
              <w:rPr>
                <w:rFonts w:ascii="Cambria Math" w:hAnsi="Cambria Math"/>
              </w:rPr>
              <m:t>R</m:t>
            </m:r>
          </m:e>
          <m:sub>
            <m:r>
              <w:rPr>
                <w:rFonts w:ascii="Cambria Math" w:hAnsi="Cambria Math"/>
              </w:rPr>
              <m:t>total</m:t>
            </m:r>
          </m:sub>
          <m:sup>
            <m:r>
              <w:rPr>
                <w:rFonts w:ascii="Cambria Math" w:hAnsi="Cambria Math"/>
              </w:rPr>
              <m:t>ned</m:t>
            </m:r>
          </m:sup>
        </m:sSubSup>
      </m:oMath>
      <w:r>
        <w:t>:</w:t>
      </w:r>
      <w:r>
        <w:rPr>
          <w:i/>
        </w:rPr>
        <w:t xml:space="preserve"> </w:t>
      </w:r>
    </w:p>
    <w:p w14:paraId="5B7715DC" w14:textId="3E514F21" w:rsidR="00BA687E" w:rsidRPr="00546F93" w:rsidRDefault="00BA687E" w:rsidP="00BA687E">
      <w:pPr>
        <w:pStyle w:val="Punktlista"/>
        <w:numPr>
          <w:ilvl w:val="0"/>
          <w:numId w:val="0"/>
        </w:numPr>
        <w:spacing w:line="360" w:lineRule="auto"/>
        <w:ind w:left="360"/>
        <w:rPr>
          <w:i/>
        </w:rPr>
      </w:pPr>
      <m:oMathPara>
        <m:oMathParaPr>
          <m:jc m:val="left"/>
        </m:oMathParaPr>
        <m:oMath>
          <m:r>
            <w:rPr>
              <w:rFonts w:ascii="Cambria Math" w:hAnsi="Cambria Math"/>
            </w:rPr>
            <m:t>aFR</m:t>
          </m:r>
          <m:sSubSup>
            <m:sSubSupPr>
              <m:ctrlPr>
                <w:rPr>
                  <w:rFonts w:ascii="Cambria Math" w:hAnsi="Cambria Math"/>
                  <w:i/>
                </w:rPr>
              </m:ctrlPr>
            </m:sSubSupPr>
            <m:e>
              <m:r>
                <w:rPr>
                  <w:rFonts w:ascii="Cambria Math" w:hAnsi="Cambria Math"/>
                </w:rPr>
                <m:t>R</m:t>
              </m:r>
            </m:e>
            <m:sub>
              <m:r>
                <w:rPr>
                  <w:rFonts w:ascii="Cambria Math" w:hAnsi="Cambria Math"/>
                </w:rPr>
                <m:t>total</m:t>
              </m:r>
            </m:sub>
            <m:sup>
              <m:r>
                <w:rPr>
                  <w:rFonts w:ascii="Cambria Math" w:hAnsi="Cambria Math"/>
                </w:rPr>
                <m:t>ned</m:t>
              </m:r>
            </m:sup>
          </m:sSubSup>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aFR</m:t>
              </m:r>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ned</m:t>
                  </m:r>
                </m:sup>
              </m:sSubSup>
            </m:e>
          </m:nary>
        </m:oMath>
      </m:oMathPara>
    </w:p>
    <w:p w14:paraId="028E8A84" w14:textId="77777777" w:rsidR="00BA687E" w:rsidRPr="004F3CF6" w:rsidRDefault="00BA687E">
      <w:pPr>
        <w:pStyle w:val="Punktlista"/>
        <w:numPr>
          <w:ilvl w:val="0"/>
          <w:numId w:val="0"/>
        </w:numPr>
        <w:spacing w:line="360" w:lineRule="auto"/>
      </w:pPr>
      <w:r w:rsidRPr="004F3CF6">
        <w:t>Där:</w:t>
      </w:r>
    </w:p>
    <w:p w14:paraId="3164AB84" w14:textId="58D41A93" w:rsidR="00BA687E" w:rsidRPr="004F3CF6" w:rsidRDefault="003B076F" w:rsidP="00BA687E">
      <w:pPr>
        <w:pStyle w:val="Punktlista"/>
        <w:numPr>
          <w:ilvl w:val="0"/>
          <w:numId w:val="0"/>
        </w:numPr>
        <w:spacing w:line="360" w:lineRule="auto"/>
        <w:ind w:left="360"/>
        <w:rPr>
          <w:sz w:val="16"/>
          <w:szCs w:val="16"/>
        </w:rPr>
      </w:pPr>
      <m:oMath>
        <m:sSubSup>
          <m:sSubSupPr>
            <m:ctrlPr>
              <w:rPr>
                <w:rFonts w:ascii="Cambria Math" w:hAnsi="Cambria Math"/>
                <w:sz w:val="16"/>
                <w:szCs w:val="16"/>
              </w:rPr>
            </m:ctrlPr>
          </m:sSubSupPr>
          <m:e>
            <m:r>
              <m:rPr>
                <m:sty m:val="p"/>
              </m:rPr>
              <w:rPr>
                <w:rFonts w:ascii="Cambria Math" w:hAnsi="Cambria Math"/>
                <w:sz w:val="16"/>
                <w:szCs w:val="16"/>
              </w:rPr>
              <m:t>aFRR</m:t>
            </m:r>
          </m:e>
          <m:sub>
            <m:r>
              <m:rPr>
                <m:sty m:val="p"/>
              </m:rPr>
              <w:rPr>
                <w:rFonts w:ascii="Cambria Math" w:hAnsi="Cambria Math"/>
                <w:sz w:val="16"/>
                <w:szCs w:val="16"/>
              </w:rPr>
              <m:t>i</m:t>
            </m:r>
          </m:sub>
          <m:sup>
            <m:r>
              <m:rPr>
                <m:sty m:val="p"/>
              </m:rPr>
              <w:rPr>
                <w:rFonts w:ascii="Cambria Math" w:hAnsi="Cambria Math"/>
                <w:sz w:val="16"/>
                <w:szCs w:val="16"/>
              </w:rPr>
              <m:t>upp</m:t>
            </m:r>
          </m:sup>
        </m:sSubSup>
      </m:oMath>
      <w:r w:rsidR="00BA687E" w:rsidRPr="004F3CF6">
        <w:rPr>
          <w:sz w:val="16"/>
          <w:szCs w:val="16"/>
        </w:rPr>
        <w:t>= aFRR-kapacitet för uppreglering (MW), för enhet i</w:t>
      </w:r>
    </w:p>
    <w:p w14:paraId="7E14BE52" w14:textId="54D18779" w:rsidR="00BA687E" w:rsidRPr="004F3CF6" w:rsidRDefault="003B076F" w:rsidP="00BA687E">
      <w:pPr>
        <w:pStyle w:val="Punktlista"/>
        <w:numPr>
          <w:ilvl w:val="0"/>
          <w:numId w:val="0"/>
        </w:numPr>
        <w:spacing w:line="360" w:lineRule="auto"/>
        <w:ind w:left="360"/>
        <w:rPr>
          <w:sz w:val="16"/>
          <w:szCs w:val="16"/>
        </w:rPr>
      </w:pPr>
      <m:oMath>
        <m:sSubSup>
          <m:sSubSupPr>
            <m:ctrlPr>
              <w:rPr>
                <w:rFonts w:ascii="Cambria Math" w:hAnsi="Cambria Math"/>
                <w:sz w:val="16"/>
                <w:szCs w:val="16"/>
              </w:rPr>
            </m:ctrlPr>
          </m:sSubSupPr>
          <m:e>
            <m:r>
              <m:rPr>
                <m:sty m:val="p"/>
              </m:rPr>
              <w:rPr>
                <w:rFonts w:ascii="Cambria Math" w:hAnsi="Cambria Math"/>
                <w:sz w:val="16"/>
                <w:szCs w:val="16"/>
              </w:rPr>
              <m:t>aFRR</m:t>
            </m:r>
          </m:e>
          <m:sub>
            <m:r>
              <m:rPr>
                <m:sty m:val="p"/>
              </m:rPr>
              <w:rPr>
                <w:rFonts w:ascii="Cambria Math" w:hAnsi="Cambria Math"/>
                <w:sz w:val="16"/>
                <w:szCs w:val="16"/>
              </w:rPr>
              <m:t>i</m:t>
            </m:r>
          </m:sub>
          <m:sup>
            <m:r>
              <m:rPr>
                <m:sty m:val="p"/>
              </m:rPr>
              <w:rPr>
                <w:rFonts w:ascii="Cambria Math" w:hAnsi="Cambria Math"/>
                <w:sz w:val="16"/>
                <w:szCs w:val="16"/>
              </w:rPr>
              <m:t>ned</m:t>
            </m:r>
          </m:sup>
        </m:sSubSup>
      </m:oMath>
      <w:r w:rsidR="00BA687E" w:rsidRPr="004F3CF6">
        <w:rPr>
          <w:sz w:val="16"/>
          <w:szCs w:val="16"/>
        </w:rPr>
        <w:t>= aFRR-kapacitet för nedreglering (MW), för enhet i</w:t>
      </w:r>
    </w:p>
    <w:p w14:paraId="7CD638AF" w14:textId="4AC379D4" w:rsidR="00BA687E" w:rsidRPr="004F3CF6" w:rsidRDefault="00BA687E" w:rsidP="00BA687E">
      <w:pPr>
        <w:pStyle w:val="Punktlista"/>
        <w:numPr>
          <w:ilvl w:val="0"/>
          <w:numId w:val="0"/>
        </w:numPr>
        <w:spacing w:line="360" w:lineRule="auto"/>
        <w:ind w:left="360"/>
        <w:rPr>
          <w:sz w:val="16"/>
          <w:szCs w:val="16"/>
        </w:rPr>
      </w:pPr>
      <m:oMath>
        <m:r>
          <m:rPr>
            <m:sty m:val="p"/>
          </m:rPr>
          <w:rPr>
            <w:rFonts w:ascii="Cambria Math" w:hAnsi="Cambria Math"/>
            <w:sz w:val="16"/>
            <w:szCs w:val="16"/>
          </w:rPr>
          <m:t>aFR</m:t>
        </m:r>
        <m:sSubSup>
          <m:sSubSupPr>
            <m:ctrlPr>
              <w:rPr>
                <w:rFonts w:ascii="Cambria Math" w:hAnsi="Cambria Math"/>
                <w:sz w:val="16"/>
                <w:szCs w:val="16"/>
              </w:rPr>
            </m:ctrlPr>
          </m:sSubSupPr>
          <m:e>
            <m:r>
              <m:rPr>
                <m:sty m:val="p"/>
              </m:rPr>
              <w:rPr>
                <w:rFonts w:ascii="Cambria Math" w:hAnsi="Cambria Math"/>
                <w:sz w:val="16"/>
                <w:szCs w:val="16"/>
              </w:rPr>
              <m:t>R</m:t>
            </m:r>
          </m:e>
          <m:sub>
            <m:r>
              <m:rPr>
                <m:sty m:val="p"/>
              </m:rPr>
              <w:rPr>
                <w:rFonts w:ascii="Cambria Math" w:hAnsi="Cambria Math"/>
                <w:sz w:val="16"/>
                <w:szCs w:val="16"/>
              </w:rPr>
              <m:t>total</m:t>
            </m:r>
          </m:sub>
          <m:sup>
            <m:r>
              <m:rPr>
                <m:sty m:val="p"/>
              </m:rPr>
              <w:rPr>
                <w:rFonts w:ascii="Cambria Math" w:hAnsi="Cambria Math"/>
                <w:sz w:val="16"/>
                <w:szCs w:val="16"/>
              </w:rPr>
              <m:t>upp</m:t>
            </m:r>
          </m:sup>
        </m:sSubSup>
      </m:oMath>
      <w:r w:rsidRPr="004F3CF6">
        <w:rPr>
          <w:sz w:val="16"/>
          <w:szCs w:val="16"/>
        </w:rPr>
        <w:t xml:space="preserve"> = summan av</w:t>
      </w:r>
      <w:r w:rsidR="00C35CD6">
        <w:rPr>
          <w:sz w:val="16"/>
          <w:szCs w:val="16"/>
        </w:rPr>
        <w:t xml:space="preserve"> tillgänglig kapacitet</w:t>
      </w:r>
      <w:r w:rsidRPr="004F3CF6">
        <w:rPr>
          <w:sz w:val="16"/>
          <w:szCs w:val="16"/>
        </w:rPr>
        <w:t xml:space="preserve"> aFRR uppreglering </w:t>
      </w:r>
      <w:r w:rsidR="00255808">
        <w:rPr>
          <w:sz w:val="16"/>
          <w:szCs w:val="16"/>
        </w:rPr>
        <w:t>per</w:t>
      </w:r>
      <w:r w:rsidRPr="00A209FA">
        <w:rPr>
          <w:sz w:val="16"/>
          <w:szCs w:val="16"/>
        </w:rPr>
        <w:t xml:space="preserve"> </w:t>
      </w:r>
      <w:r w:rsidR="00EE300D" w:rsidRPr="00A209FA">
        <w:rPr>
          <w:sz w:val="16"/>
          <w:szCs w:val="16"/>
        </w:rPr>
        <w:t>aktör</w:t>
      </w:r>
      <w:r w:rsidR="00EE300D">
        <w:rPr>
          <w:sz w:val="16"/>
          <w:szCs w:val="16"/>
        </w:rPr>
        <w:t xml:space="preserve"> och budområde</w:t>
      </w:r>
      <w:r w:rsidRPr="004F3CF6">
        <w:rPr>
          <w:sz w:val="16"/>
          <w:szCs w:val="16"/>
        </w:rPr>
        <w:t xml:space="preserve"> </w:t>
      </w:r>
      <w:r w:rsidR="00255808">
        <w:rPr>
          <w:sz w:val="16"/>
          <w:szCs w:val="16"/>
        </w:rPr>
        <w:t>för</w:t>
      </w:r>
      <w:r w:rsidR="00C35CD6">
        <w:rPr>
          <w:sz w:val="16"/>
          <w:szCs w:val="16"/>
        </w:rPr>
        <w:t xml:space="preserve"> de</w:t>
      </w:r>
      <w:r w:rsidRPr="004F3CF6">
        <w:rPr>
          <w:sz w:val="16"/>
          <w:szCs w:val="16"/>
        </w:rPr>
        <w:t xml:space="preserve"> n enheter som tillhandahåller aFRR</w:t>
      </w:r>
      <w:r w:rsidR="00C35CD6">
        <w:rPr>
          <w:sz w:val="16"/>
          <w:szCs w:val="16"/>
        </w:rPr>
        <w:t xml:space="preserve"> i budområdet </w:t>
      </w:r>
    </w:p>
    <w:p w14:paraId="41499D2A" w14:textId="2C7921D1" w:rsidR="00BA687E" w:rsidRPr="004F3CF6" w:rsidRDefault="00BA687E" w:rsidP="00BA687E">
      <w:pPr>
        <w:pStyle w:val="Punktlista"/>
        <w:numPr>
          <w:ilvl w:val="0"/>
          <w:numId w:val="0"/>
        </w:numPr>
        <w:spacing w:line="360" w:lineRule="auto"/>
        <w:ind w:left="360"/>
        <w:rPr>
          <w:sz w:val="16"/>
          <w:szCs w:val="16"/>
        </w:rPr>
      </w:pPr>
      <m:oMath>
        <m:r>
          <m:rPr>
            <m:sty m:val="p"/>
          </m:rPr>
          <w:rPr>
            <w:rFonts w:ascii="Cambria Math" w:hAnsi="Cambria Math"/>
            <w:sz w:val="16"/>
            <w:szCs w:val="16"/>
          </w:rPr>
          <m:t>aFR</m:t>
        </m:r>
        <m:sSubSup>
          <m:sSubSupPr>
            <m:ctrlPr>
              <w:rPr>
                <w:rFonts w:ascii="Cambria Math" w:hAnsi="Cambria Math"/>
                <w:sz w:val="16"/>
                <w:szCs w:val="16"/>
              </w:rPr>
            </m:ctrlPr>
          </m:sSubSupPr>
          <m:e>
            <m:r>
              <m:rPr>
                <m:sty m:val="p"/>
              </m:rPr>
              <w:rPr>
                <w:rFonts w:ascii="Cambria Math" w:hAnsi="Cambria Math"/>
                <w:sz w:val="16"/>
                <w:szCs w:val="16"/>
              </w:rPr>
              <m:t>R</m:t>
            </m:r>
          </m:e>
          <m:sub>
            <m:r>
              <m:rPr>
                <m:sty m:val="p"/>
              </m:rPr>
              <w:rPr>
                <w:rFonts w:ascii="Cambria Math" w:hAnsi="Cambria Math"/>
                <w:sz w:val="16"/>
                <w:szCs w:val="16"/>
              </w:rPr>
              <m:t>total</m:t>
            </m:r>
          </m:sub>
          <m:sup>
            <m:r>
              <m:rPr>
                <m:sty m:val="p"/>
              </m:rPr>
              <w:rPr>
                <w:rFonts w:ascii="Cambria Math" w:hAnsi="Cambria Math"/>
                <w:sz w:val="16"/>
                <w:szCs w:val="16"/>
              </w:rPr>
              <m:t>ned</m:t>
            </m:r>
          </m:sup>
        </m:sSubSup>
      </m:oMath>
      <w:r w:rsidRPr="004F3CF6">
        <w:rPr>
          <w:sz w:val="16"/>
          <w:szCs w:val="16"/>
        </w:rPr>
        <w:t xml:space="preserve"> = summan av </w:t>
      </w:r>
      <w:r w:rsidR="00C35CD6">
        <w:rPr>
          <w:sz w:val="16"/>
          <w:szCs w:val="16"/>
        </w:rPr>
        <w:t>tillgänglig kapacitet a</w:t>
      </w:r>
      <w:r w:rsidRPr="004F3CF6">
        <w:rPr>
          <w:sz w:val="16"/>
          <w:szCs w:val="16"/>
        </w:rPr>
        <w:t xml:space="preserve">FRR nedreglering </w:t>
      </w:r>
      <w:r w:rsidR="00255808" w:rsidRPr="00C93FA3">
        <w:rPr>
          <w:sz w:val="16"/>
          <w:szCs w:val="16"/>
        </w:rPr>
        <w:t>per aktör och budområde för</w:t>
      </w:r>
      <w:r w:rsidR="00C35CD6">
        <w:rPr>
          <w:sz w:val="16"/>
          <w:szCs w:val="16"/>
        </w:rPr>
        <w:t xml:space="preserve"> de</w:t>
      </w:r>
      <w:r w:rsidRPr="004F3CF6">
        <w:rPr>
          <w:sz w:val="16"/>
          <w:szCs w:val="16"/>
        </w:rPr>
        <w:t xml:space="preserve"> n enheter som tillhandahåller aFRR</w:t>
      </w:r>
      <w:r w:rsidR="00C35CD6">
        <w:rPr>
          <w:sz w:val="16"/>
          <w:szCs w:val="16"/>
        </w:rPr>
        <w:t xml:space="preserve"> i budområdet</w:t>
      </w:r>
    </w:p>
    <w:p w14:paraId="401F3D62" w14:textId="14D8C422" w:rsidR="00BA687E" w:rsidRPr="004F3CF6" w:rsidRDefault="00BA687E" w:rsidP="00BA687E">
      <w:pPr>
        <w:pStyle w:val="Punktlista"/>
        <w:numPr>
          <w:ilvl w:val="0"/>
          <w:numId w:val="0"/>
        </w:numPr>
        <w:spacing w:line="360" w:lineRule="auto"/>
        <w:ind w:left="360"/>
        <w:rPr>
          <w:sz w:val="16"/>
          <w:szCs w:val="16"/>
        </w:rPr>
      </w:pPr>
      <m:oMath>
        <m:r>
          <m:rPr>
            <m:sty m:val="p"/>
          </m:rPr>
          <w:rPr>
            <w:rFonts w:ascii="Cambria Math" w:hAnsi="Cambria Math"/>
            <w:sz w:val="16"/>
            <w:szCs w:val="16"/>
          </w:rPr>
          <m:t>aFR</m:t>
        </m:r>
        <m:sSubSup>
          <m:sSubSupPr>
            <m:ctrlPr>
              <w:rPr>
                <w:rFonts w:ascii="Cambria Math" w:hAnsi="Cambria Math"/>
                <w:sz w:val="16"/>
                <w:szCs w:val="16"/>
              </w:rPr>
            </m:ctrlPr>
          </m:sSubSupPr>
          <m:e>
            <m:r>
              <m:rPr>
                <m:sty m:val="p"/>
              </m:rPr>
              <w:rPr>
                <w:rFonts w:ascii="Cambria Math" w:hAnsi="Cambria Math"/>
                <w:sz w:val="16"/>
                <w:szCs w:val="16"/>
              </w:rPr>
              <m:t>R</m:t>
            </m:r>
          </m:e>
          <m:sub>
            <m:r>
              <m:rPr>
                <m:sty m:val="p"/>
              </m:rPr>
              <w:rPr>
                <w:rFonts w:ascii="Cambria Math" w:hAnsi="Cambria Math"/>
                <w:sz w:val="16"/>
                <w:szCs w:val="16"/>
              </w:rPr>
              <m:t>i, såld</m:t>
            </m:r>
          </m:sub>
          <m:sup>
            <m:r>
              <m:rPr>
                <m:sty m:val="p"/>
              </m:rPr>
              <w:rPr>
                <w:rFonts w:ascii="Cambria Math" w:hAnsi="Cambria Math"/>
                <w:sz w:val="16"/>
                <w:szCs w:val="16"/>
              </w:rPr>
              <m:t>upp</m:t>
            </m:r>
          </m:sup>
        </m:sSubSup>
      </m:oMath>
      <w:r w:rsidRPr="004F3CF6">
        <w:rPr>
          <w:sz w:val="16"/>
          <w:szCs w:val="16"/>
        </w:rPr>
        <w:t>= kapacitet aFRR uppreglering för enhet i (MW) som avropats på marknaden</w:t>
      </w:r>
    </w:p>
    <w:p w14:paraId="0982AC60" w14:textId="516CC42D" w:rsidR="00BA687E" w:rsidRPr="004F3CF6" w:rsidRDefault="00BA687E" w:rsidP="00BA687E">
      <w:pPr>
        <w:pStyle w:val="Punktlista"/>
        <w:numPr>
          <w:ilvl w:val="0"/>
          <w:numId w:val="0"/>
        </w:numPr>
        <w:spacing w:line="360" w:lineRule="auto"/>
        <w:ind w:left="360"/>
        <w:rPr>
          <w:sz w:val="16"/>
          <w:szCs w:val="16"/>
        </w:rPr>
      </w:pPr>
      <m:oMath>
        <m:r>
          <m:rPr>
            <m:sty m:val="p"/>
          </m:rPr>
          <w:rPr>
            <w:rFonts w:ascii="Cambria Math" w:hAnsi="Cambria Math"/>
            <w:sz w:val="16"/>
            <w:szCs w:val="16"/>
          </w:rPr>
          <m:t>aFR</m:t>
        </m:r>
        <m:sSubSup>
          <m:sSubSupPr>
            <m:ctrlPr>
              <w:rPr>
                <w:rFonts w:ascii="Cambria Math" w:hAnsi="Cambria Math"/>
                <w:sz w:val="16"/>
                <w:szCs w:val="16"/>
              </w:rPr>
            </m:ctrlPr>
          </m:sSubSupPr>
          <m:e>
            <m:r>
              <m:rPr>
                <m:sty m:val="p"/>
              </m:rPr>
              <w:rPr>
                <w:rFonts w:ascii="Cambria Math" w:hAnsi="Cambria Math"/>
                <w:sz w:val="16"/>
                <w:szCs w:val="16"/>
              </w:rPr>
              <m:t>R</m:t>
            </m:r>
          </m:e>
          <m:sub>
            <m:r>
              <m:rPr>
                <m:sty m:val="p"/>
              </m:rPr>
              <w:rPr>
                <w:rFonts w:ascii="Cambria Math" w:hAnsi="Cambria Math"/>
                <w:sz w:val="16"/>
                <w:szCs w:val="16"/>
              </w:rPr>
              <m:t>i, såld</m:t>
            </m:r>
          </m:sub>
          <m:sup>
            <m:r>
              <m:rPr>
                <m:sty m:val="p"/>
              </m:rPr>
              <w:rPr>
                <w:rFonts w:ascii="Cambria Math" w:hAnsi="Cambria Math"/>
                <w:sz w:val="16"/>
                <w:szCs w:val="16"/>
              </w:rPr>
              <m:t>ned</m:t>
            </m:r>
          </m:sup>
        </m:sSubSup>
      </m:oMath>
      <w:r w:rsidRPr="004F3CF6">
        <w:rPr>
          <w:sz w:val="16"/>
          <w:szCs w:val="16"/>
        </w:rPr>
        <w:t>= kapacitet aFRR nedreglering för enhet i (MW) som avropats på marknaden</w:t>
      </w:r>
    </w:p>
    <w:p w14:paraId="751B9532" w14:textId="22CCEA2D" w:rsidR="00BA687E" w:rsidRPr="004F3CF6" w:rsidRDefault="00BA687E" w:rsidP="00BA687E">
      <w:pPr>
        <w:pStyle w:val="Punktlista"/>
        <w:numPr>
          <w:ilvl w:val="0"/>
          <w:numId w:val="0"/>
        </w:numPr>
        <w:spacing w:line="360" w:lineRule="auto"/>
        <w:ind w:left="360"/>
        <w:rPr>
          <w:sz w:val="16"/>
          <w:szCs w:val="16"/>
        </w:rPr>
      </w:pP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P</m:t>
            </m:r>
          </m:e>
          <m:sub>
            <m:r>
              <m:rPr>
                <m:sty m:val="p"/>
              </m:rPr>
              <w:rPr>
                <w:rFonts w:ascii="Cambria Math" w:hAnsi="Cambria Math"/>
                <w:sz w:val="16"/>
                <w:szCs w:val="16"/>
              </w:rPr>
              <m:t xml:space="preserve">i, </m:t>
            </m:r>
            <m:func>
              <m:funcPr>
                <m:ctrlPr>
                  <w:rPr>
                    <w:rFonts w:ascii="Cambria Math" w:hAnsi="Cambria Math"/>
                    <w:sz w:val="16"/>
                    <w:szCs w:val="16"/>
                  </w:rPr>
                </m:ctrlPr>
              </m:funcPr>
              <m:fName>
                <m:r>
                  <m:rPr>
                    <m:sty m:val="p"/>
                  </m:rPr>
                  <w:rPr>
                    <w:rFonts w:ascii="Cambria Math" w:hAnsi="Cambria Math"/>
                    <w:sz w:val="16"/>
                    <w:szCs w:val="16"/>
                  </w:rPr>
                  <m:t>max</m:t>
                </m:r>
              </m:fName>
              <m:e>
                <m:r>
                  <m:rPr>
                    <m:sty m:val="p"/>
                  </m:rPr>
                  <w:rPr>
                    <w:rFonts w:ascii="Cambria Math" w:hAnsi="Cambria Math"/>
                    <w:sz w:val="16"/>
                    <w:szCs w:val="16"/>
                  </w:rPr>
                  <m:t>upp</m:t>
                </m:r>
              </m:e>
            </m:func>
          </m:sub>
        </m:sSub>
      </m:oMath>
      <w:r w:rsidRPr="004F3CF6">
        <w:rPr>
          <w:sz w:val="16"/>
          <w:szCs w:val="16"/>
        </w:rPr>
        <w:t xml:space="preserve"> = maximal uppregleringsförmåga (MW), för enhet i, där uppregleringsförmåga är förmåga att öka produktion eller minska förbrukning.</w:t>
      </w:r>
    </w:p>
    <w:p w14:paraId="3E379374" w14:textId="2F303DF7" w:rsidR="00BA687E" w:rsidRPr="004F3CF6" w:rsidRDefault="00BA687E" w:rsidP="00BA687E">
      <w:pPr>
        <w:pStyle w:val="Punktlista"/>
        <w:numPr>
          <w:ilvl w:val="0"/>
          <w:numId w:val="0"/>
        </w:numPr>
        <w:spacing w:line="360" w:lineRule="auto"/>
        <w:ind w:left="360"/>
        <w:rPr>
          <w:sz w:val="16"/>
          <w:szCs w:val="16"/>
        </w:rPr>
      </w:pP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P</m:t>
            </m:r>
          </m:e>
          <m:sub>
            <m:r>
              <m:rPr>
                <m:sty m:val="p"/>
              </m:rPr>
              <w:rPr>
                <w:rFonts w:ascii="Cambria Math" w:hAnsi="Cambria Math"/>
                <w:sz w:val="16"/>
                <w:szCs w:val="16"/>
              </w:rPr>
              <m:t>i,</m:t>
            </m:r>
            <m:func>
              <m:funcPr>
                <m:ctrlPr>
                  <w:rPr>
                    <w:rFonts w:ascii="Cambria Math" w:hAnsi="Cambria Math"/>
                    <w:sz w:val="16"/>
                    <w:szCs w:val="16"/>
                  </w:rPr>
                </m:ctrlPr>
              </m:funcPr>
              <m:fName>
                <m:r>
                  <m:rPr>
                    <m:sty m:val="p"/>
                  </m:rPr>
                  <w:rPr>
                    <w:rFonts w:ascii="Cambria Math" w:hAnsi="Cambria Math"/>
                    <w:sz w:val="16"/>
                    <w:szCs w:val="16"/>
                  </w:rPr>
                  <m:t>max</m:t>
                </m:r>
              </m:fName>
              <m:e>
                <m:r>
                  <m:rPr>
                    <m:sty m:val="p"/>
                  </m:rPr>
                  <w:rPr>
                    <w:rFonts w:ascii="Cambria Math" w:hAnsi="Cambria Math"/>
                    <w:sz w:val="16"/>
                    <w:szCs w:val="16"/>
                  </w:rPr>
                  <m:t>ned</m:t>
                </m:r>
              </m:e>
            </m:func>
          </m:sub>
        </m:sSub>
      </m:oMath>
      <w:r w:rsidRPr="004F3CF6">
        <w:rPr>
          <w:sz w:val="16"/>
          <w:szCs w:val="16"/>
        </w:rPr>
        <w:t xml:space="preserve"> = maximal nedregleringsförmåga (MW), för enhet i, där nedregleringsförmåga är förmåga att minska produktion eller öka förbrukning</w:t>
      </w:r>
    </w:p>
    <w:p w14:paraId="46B0ED78" w14:textId="3C2E303E" w:rsidR="004F3CF6" w:rsidRDefault="003B076F" w:rsidP="004F3CF6">
      <w:pPr>
        <w:pStyle w:val="Punktlista"/>
        <w:numPr>
          <w:ilvl w:val="0"/>
          <w:numId w:val="0"/>
        </w:numPr>
        <w:spacing w:line="360" w:lineRule="auto"/>
        <w:ind w:left="360"/>
        <w:rPr>
          <w:sz w:val="16"/>
          <w:szCs w:val="16"/>
        </w:rPr>
      </w:pPr>
      <m:oMath>
        <m:sSubSup>
          <m:sSubSupPr>
            <m:ctrlPr>
              <w:rPr>
                <w:rFonts w:ascii="Cambria Math" w:hAnsi="Cambria Math"/>
                <w:i/>
                <w:sz w:val="16"/>
                <w:szCs w:val="16"/>
              </w:rPr>
            </m:ctrlPr>
          </m:sSubSupPr>
          <m:e>
            <m:r>
              <m:rPr>
                <m:sty m:val="p"/>
              </m:rPr>
              <w:rPr>
                <w:rFonts w:ascii="Cambria Math" w:hAnsi="Cambria Math"/>
                <w:sz w:val="16"/>
                <w:szCs w:val="16"/>
              </w:rPr>
              <m:t>P</m:t>
            </m:r>
            <m:ctrlPr>
              <w:rPr>
                <w:rFonts w:ascii="Cambria Math" w:hAnsi="Cambria Math"/>
                <w:sz w:val="16"/>
                <w:szCs w:val="16"/>
              </w:rPr>
            </m:ctrlPr>
          </m:e>
          <m:sub>
            <m:r>
              <m:rPr>
                <m:sty m:val="p"/>
              </m:rPr>
              <w:rPr>
                <w:rFonts w:ascii="Cambria Math" w:hAnsi="Cambria Math"/>
                <w:sz w:val="16"/>
                <w:szCs w:val="16"/>
              </w:rPr>
              <m:t>i, stödtjänst</m:t>
            </m:r>
            <m:ctrlPr>
              <w:rPr>
                <w:rFonts w:ascii="Cambria Math" w:hAnsi="Cambria Math"/>
                <w:sz w:val="16"/>
                <w:szCs w:val="16"/>
              </w:rPr>
            </m:ctrlPr>
          </m:sub>
          <m:sup>
            <m:r>
              <w:rPr>
                <w:rFonts w:ascii="Cambria Math" w:hAnsi="Cambria Math"/>
                <w:sz w:val="16"/>
                <w:szCs w:val="16"/>
              </w:rPr>
              <m:t>upp</m:t>
            </m:r>
          </m:sup>
        </m:sSubSup>
      </m:oMath>
      <w:r w:rsidR="004F3CF6" w:rsidRPr="004F3CF6">
        <w:rPr>
          <w:sz w:val="16"/>
          <w:szCs w:val="16"/>
        </w:rPr>
        <w:t>= kapacitet som avropats</w:t>
      </w:r>
      <w:r w:rsidR="004F3CF6">
        <w:rPr>
          <w:sz w:val="16"/>
          <w:szCs w:val="16"/>
        </w:rPr>
        <w:t xml:space="preserve"> för uppreglering</w:t>
      </w:r>
      <w:r w:rsidR="004F3CF6" w:rsidRPr="004F3CF6">
        <w:rPr>
          <w:sz w:val="16"/>
          <w:szCs w:val="16"/>
        </w:rPr>
        <w:t xml:space="preserve"> på marknaden för andra stödtjänster,</w:t>
      </w:r>
      <w:r w:rsidR="004F3CF6">
        <w:rPr>
          <w:sz w:val="16"/>
          <w:szCs w:val="16"/>
        </w:rPr>
        <w:br/>
        <w:t>t.ex. FCR eller FFR</w:t>
      </w:r>
    </w:p>
    <w:p w14:paraId="52FD8454" w14:textId="532A3529" w:rsidR="004F3CF6" w:rsidRPr="004F3CF6" w:rsidRDefault="003B076F" w:rsidP="004F3CF6">
      <w:pPr>
        <w:pStyle w:val="Punktlista"/>
        <w:numPr>
          <w:ilvl w:val="0"/>
          <w:numId w:val="0"/>
        </w:numPr>
        <w:spacing w:line="360" w:lineRule="auto"/>
        <w:ind w:left="360"/>
        <w:rPr>
          <w:sz w:val="16"/>
          <w:szCs w:val="16"/>
        </w:rPr>
      </w:pPr>
      <m:oMath>
        <m:sSubSup>
          <m:sSubSupPr>
            <m:ctrlPr>
              <w:rPr>
                <w:rFonts w:ascii="Cambria Math" w:hAnsi="Cambria Math"/>
                <w:i/>
                <w:sz w:val="16"/>
                <w:szCs w:val="16"/>
              </w:rPr>
            </m:ctrlPr>
          </m:sSubSupPr>
          <m:e>
            <m:r>
              <m:rPr>
                <m:sty m:val="p"/>
              </m:rPr>
              <w:rPr>
                <w:rFonts w:ascii="Cambria Math" w:hAnsi="Cambria Math"/>
                <w:sz w:val="16"/>
                <w:szCs w:val="16"/>
              </w:rPr>
              <m:t>P</m:t>
            </m:r>
            <m:ctrlPr>
              <w:rPr>
                <w:rFonts w:ascii="Cambria Math" w:hAnsi="Cambria Math"/>
                <w:sz w:val="16"/>
                <w:szCs w:val="16"/>
              </w:rPr>
            </m:ctrlPr>
          </m:e>
          <m:sub>
            <m:r>
              <m:rPr>
                <m:sty m:val="p"/>
              </m:rPr>
              <w:rPr>
                <w:rFonts w:ascii="Cambria Math" w:hAnsi="Cambria Math"/>
                <w:sz w:val="16"/>
                <w:szCs w:val="16"/>
              </w:rPr>
              <m:t>i, stödtjänst</m:t>
            </m:r>
            <m:ctrlPr>
              <w:rPr>
                <w:rFonts w:ascii="Cambria Math" w:hAnsi="Cambria Math"/>
                <w:sz w:val="16"/>
                <w:szCs w:val="16"/>
              </w:rPr>
            </m:ctrlPr>
          </m:sub>
          <m:sup>
            <m:r>
              <w:rPr>
                <w:rFonts w:ascii="Cambria Math" w:hAnsi="Cambria Math"/>
                <w:sz w:val="16"/>
                <w:szCs w:val="16"/>
              </w:rPr>
              <m:t>ned</m:t>
            </m:r>
          </m:sup>
        </m:sSubSup>
      </m:oMath>
      <w:r w:rsidR="004F3CF6" w:rsidRPr="004F3CF6">
        <w:rPr>
          <w:sz w:val="16"/>
          <w:szCs w:val="16"/>
        </w:rPr>
        <w:t>= kapacitet som avropats</w:t>
      </w:r>
      <w:r w:rsidR="004F3CF6">
        <w:rPr>
          <w:sz w:val="16"/>
          <w:szCs w:val="16"/>
        </w:rPr>
        <w:t xml:space="preserve"> för nedreglering</w:t>
      </w:r>
      <w:r w:rsidR="004F3CF6" w:rsidRPr="004F3CF6">
        <w:rPr>
          <w:sz w:val="16"/>
          <w:szCs w:val="16"/>
        </w:rPr>
        <w:t xml:space="preserve"> på marknaden för andra stödtjänster,</w:t>
      </w:r>
      <w:r w:rsidR="004F3CF6">
        <w:rPr>
          <w:sz w:val="16"/>
          <w:szCs w:val="16"/>
        </w:rPr>
        <w:br/>
      </w:r>
      <w:r w:rsidR="004F3CF6" w:rsidRPr="004F3CF6">
        <w:rPr>
          <w:sz w:val="16"/>
          <w:szCs w:val="16"/>
        </w:rPr>
        <w:t>t.ex. FCR eller FFR</w:t>
      </w:r>
    </w:p>
    <w:p w14:paraId="358739F1" w14:textId="77777777" w:rsidR="00BA687E" w:rsidRPr="002607A6" w:rsidRDefault="00BA687E" w:rsidP="004F3CF6">
      <w:pPr>
        <w:pStyle w:val="Brdtext"/>
      </w:pPr>
    </w:p>
    <w:p w14:paraId="55F8146A" w14:textId="77777777" w:rsidR="005533F6" w:rsidRDefault="005533F6" w:rsidP="005E09D9">
      <w:pPr>
        <w:pStyle w:val="Brdtext"/>
      </w:pPr>
    </w:p>
    <w:p w14:paraId="71F99E42" w14:textId="36F381AA" w:rsidR="005E09D9" w:rsidRDefault="005E09D9">
      <w:pPr>
        <w:spacing w:after="160" w:line="2" w:lineRule="auto"/>
        <w:rPr>
          <w:rFonts w:eastAsiaTheme="majorEastAsia" w:cstheme="majorBidi"/>
          <w:sz w:val="36"/>
          <w:szCs w:val="32"/>
        </w:rPr>
      </w:pPr>
      <w:r>
        <w:br w:type="page"/>
      </w:r>
    </w:p>
    <w:p w14:paraId="071FE2F1" w14:textId="2AA408FD" w:rsidR="00102292" w:rsidRDefault="00102292" w:rsidP="00102292">
      <w:pPr>
        <w:pStyle w:val="Rubrik1"/>
        <w:numPr>
          <w:ilvl w:val="0"/>
          <w:numId w:val="15"/>
        </w:numPr>
      </w:pPr>
      <w:r>
        <w:lastRenderedPageBreak/>
        <w:t>Planering av förkvalificering</w:t>
      </w:r>
    </w:p>
    <w:p w14:paraId="6D51DD9D" w14:textId="77777777" w:rsidR="00102292" w:rsidRDefault="00102292" w:rsidP="00102292">
      <w:pPr>
        <w:pStyle w:val="Brdtext"/>
      </w:pPr>
      <w:r>
        <w:t xml:space="preserve">Inför förkvalificeringstester bör följande punkter säkerställas av det ansökande företaget. Vid behov ska kontakt med Svenska kraftnät etableras i god tid. </w:t>
      </w:r>
    </w:p>
    <w:p w14:paraId="78AFB45C" w14:textId="072C43D0" w:rsidR="00102292" w:rsidRDefault="00102292" w:rsidP="00102292">
      <w:pPr>
        <w:pStyle w:val="Punktlista"/>
      </w:pPr>
      <w:r>
        <w:t xml:space="preserve">Ta del av gällande regelverk beskrivet i </w:t>
      </w:r>
      <w:r w:rsidR="003B076F">
        <w:t>A</w:t>
      </w:r>
      <w:r w:rsidR="005C62AB" w:rsidRPr="005C62AB">
        <w:t xml:space="preserve">vtal om leverans av balanstjänster </w:t>
      </w:r>
      <w:r>
        <w:t xml:space="preserve"> med tillhörande bilag</w:t>
      </w:r>
      <w:r w:rsidR="005C62AB">
        <w:t>or</w:t>
      </w:r>
      <w:bookmarkStart w:id="9" w:name="_GoBack"/>
      <w:bookmarkEnd w:id="9"/>
      <w:r>
        <w:t xml:space="preserve">. </w:t>
      </w:r>
    </w:p>
    <w:p w14:paraId="07A73605" w14:textId="77777777" w:rsidR="00102292" w:rsidRDefault="00102292" w:rsidP="00102292">
      <w:pPr>
        <w:pStyle w:val="Punktlista"/>
      </w:pPr>
      <w:r>
        <w:t xml:space="preserve">Säkerställ att senaste versioner av samtliga dokument används. Information och dokument hittas på Svenska kraftnäts hemsida. </w:t>
      </w:r>
    </w:p>
    <w:p w14:paraId="34D01663" w14:textId="77777777" w:rsidR="00102292" w:rsidRDefault="00102292" w:rsidP="00102292">
      <w:pPr>
        <w:pStyle w:val="Punktlista"/>
      </w:pPr>
      <w:r>
        <w:t xml:space="preserve">Säkerställ att den information som efterfrågas i ansökningsformuläret finns att tillgå. </w:t>
      </w:r>
    </w:p>
    <w:p w14:paraId="3DDE1FE9" w14:textId="5C1B2E62" w:rsidR="00B3342E" w:rsidRDefault="00E76FA3" w:rsidP="00102292">
      <w:pPr>
        <w:pStyle w:val="Punktlista"/>
      </w:pPr>
      <w:r>
        <w:t xml:space="preserve">För genomförande av </w:t>
      </w:r>
      <w:r w:rsidR="004B2EBC">
        <w:t>signal</w:t>
      </w:r>
      <w:r>
        <w:t>teste</w:t>
      </w:r>
      <w:r w:rsidR="009453FD">
        <w:t>t</w:t>
      </w:r>
      <w:r>
        <w:t xml:space="preserve"> behöver </w:t>
      </w:r>
      <w:r w:rsidR="00102292" w:rsidRPr="005F4BF4">
        <w:t>Svenska kraftnät</w:t>
      </w:r>
      <w:r>
        <w:t xml:space="preserve"> delta. Deltagande ske</w:t>
      </w:r>
      <w:r w:rsidR="004B2EBC">
        <w:t xml:space="preserve">r </w:t>
      </w:r>
      <w:r>
        <w:t>på distans</w:t>
      </w:r>
      <w:r w:rsidR="004B2EBC">
        <w:t xml:space="preserve">. </w:t>
      </w:r>
    </w:p>
    <w:p w14:paraId="2DF7B320" w14:textId="4D6D20D3" w:rsidR="00102292" w:rsidRDefault="004B2EBC" w:rsidP="00102292">
      <w:pPr>
        <w:pStyle w:val="Punktlista"/>
      </w:pPr>
      <w:r>
        <w:t xml:space="preserve">Vid kapacitetstestet skickar </w:t>
      </w:r>
      <w:r w:rsidR="00F26727">
        <w:t>leverantören</w:t>
      </w:r>
      <w:r>
        <w:t xml:space="preserve"> </w:t>
      </w:r>
      <w:r w:rsidR="000E55DB">
        <w:t>på egen hand signalerna till den aktuella enheten eller gruppen</w:t>
      </w:r>
      <w:r w:rsidR="00E76FA3">
        <w:t xml:space="preserve"> men Svenska kraftnät har </w:t>
      </w:r>
      <w:r w:rsidR="00102292" w:rsidRPr="005F4BF4">
        <w:t>rätt att</w:t>
      </w:r>
      <w:r w:rsidR="00105105">
        <w:t xml:space="preserve"> delta på plats </w:t>
      </w:r>
      <w:r>
        <w:t>som</w:t>
      </w:r>
      <w:r w:rsidR="00105105">
        <w:t xml:space="preserve"> observatör</w:t>
      </w:r>
      <w:r w:rsidR="00102292">
        <w:t xml:space="preserve">. Säkerställ att dialog kring </w:t>
      </w:r>
      <w:r w:rsidR="00E76FA3">
        <w:t xml:space="preserve">deltagande </w:t>
      </w:r>
      <w:r w:rsidR="00102292">
        <w:t>förs i god tid</w:t>
      </w:r>
      <w:r w:rsidR="00C37C61">
        <w:t>,</w:t>
      </w:r>
      <w:r w:rsidR="00EB3533">
        <w:t xml:space="preserve"> </w:t>
      </w:r>
      <w:r w:rsidR="00C37C61">
        <w:t>3 veckor i förväg,</w:t>
      </w:r>
      <w:r w:rsidR="00102292">
        <w:t xml:space="preserve"> med </w:t>
      </w:r>
      <w:r w:rsidR="00E61217">
        <w:t>ansvarig hos Svenska kraftnät (a</w:t>
      </w:r>
      <w:r w:rsidR="00102292">
        <w:t xml:space="preserve">frr@svk.se). </w:t>
      </w:r>
      <w:r w:rsidR="00102292" w:rsidRPr="005F4BF4">
        <w:t xml:space="preserve">Leverantören ansvarar för upplupna kostnader under </w:t>
      </w:r>
      <w:r w:rsidR="00102292">
        <w:t xml:space="preserve">testet </w:t>
      </w:r>
      <w:r w:rsidR="00102292" w:rsidRPr="005F4BF4">
        <w:t>och ska tillhandahålla erforderlig utrustning. Svenska kraftnät ansvarar endast för sina egna kostnader.</w:t>
      </w:r>
    </w:p>
    <w:p w14:paraId="129FA054" w14:textId="77777777" w:rsidR="00102292" w:rsidRDefault="00102292" w:rsidP="00102292">
      <w:pPr>
        <w:pStyle w:val="Punktlista"/>
      </w:pPr>
      <w:r>
        <w:t xml:space="preserve">Säkerställ att eventuella begränsningar har godkänts av Svenska kraftnät innan test inleds. </w:t>
      </w:r>
    </w:p>
    <w:p w14:paraId="0EC0CF06" w14:textId="3AE14F69" w:rsidR="00102292" w:rsidRPr="00456393" w:rsidRDefault="00102292" w:rsidP="005B1CE3">
      <w:pPr>
        <w:pStyle w:val="Punktlista"/>
      </w:pPr>
      <w:r w:rsidRPr="00456393">
        <w:t xml:space="preserve">Kontrollera att nedanstående data kan registreras kontinuerligt under leverans. </w:t>
      </w:r>
    </w:p>
    <w:p w14:paraId="3BBC6ED4" w14:textId="0C64B5A5" w:rsidR="00A8669A" w:rsidRPr="003B3BE2" w:rsidRDefault="00A8669A" w:rsidP="005B1CE3">
      <w:pPr>
        <w:pStyle w:val="Beskrivning"/>
        <w:keepNext/>
      </w:pPr>
      <w:r>
        <w:t xml:space="preserve">Tabell </w:t>
      </w:r>
      <w:r w:rsidR="003B076F">
        <w:fldChar w:fldCharType="begin"/>
      </w:r>
      <w:r w:rsidR="003B076F">
        <w:instrText xml:space="preserve"> SEQ Tabell \* ARABIC </w:instrText>
      </w:r>
      <w:r w:rsidR="003B076F">
        <w:fldChar w:fldCharType="separate"/>
      </w:r>
      <w:r w:rsidR="00875271">
        <w:rPr>
          <w:noProof/>
        </w:rPr>
        <w:t>4</w:t>
      </w:r>
      <w:r w:rsidR="003B076F">
        <w:rPr>
          <w:noProof/>
        </w:rPr>
        <w:fldChar w:fldCharType="end"/>
      </w:r>
      <w:r>
        <w:t xml:space="preserve">. </w:t>
      </w:r>
      <w:r w:rsidRPr="00456393">
        <w:t xml:space="preserve">Sammanfattning av krav för mätning och reglering. </w:t>
      </w:r>
    </w:p>
    <w:tbl>
      <w:tblPr>
        <w:tblStyle w:val="SvKTabellformat"/>
        <w:tblW w:w="0" w:type="auto"/>
        <w:tblLook w:val="04A0" w:firstRow="1" w:lastRow="0" w:firstColumn="1" w:lastColumn="0" w:noHBand="0" w:noVBand="1"/>
      </w:tblPr>
      <w:tblGrid>
        <w:gridCol w:w="2016"/>
        <w:gridCol w:w="1733"/>
        <w:gridCol w:w="1711"/>
        <w:gridCol w:w="1790"/>
      </w:tblGrid>
      <w:tr w:rsidR="00102292" w:rsidRPr="000A3236" w14:paraId="71D69EB2" w14:textId="77777777" w:rsidTr="004674A7">
        <w:trPr>
          <w:cnfStyle w:val="100000000000" w:firstRow="1" w:lastRow="0" w:firstColumn="0" w:lastColumn="0" w:oddVBand="0" w:evenVBand="0" w:oddHBand="0" w:evenHBand="0" w:firstRowFirstColumn="0" w:firstRowLastColumn="0" w:lastRowFirstColumn="0" w:lastRowLastColumn="0"/>
        </w:trPr>
        <w:tc>
          <w:tcPr>
            <w:tcW w:w="2016" w:type="dxa"/>
          </w:tcPr>
          <w:p w14:paraId="15D2D114" w14:textId="77777777" w:rsidR="00102292" w:rsidRPr="00456393" w:rsidRDefault="00102292" w:rsidP="005E4AB9">
            <w:pPr>
              <w:pStyle w:val="Tabelltext"/>
              <w:rPr>
                <w:szCs w:val="20"/>
              </w:rPr>
            </w:pPr>
          </w:p>
        </w:tc>
        <w:tc>
          <w:tcPr>
            <w:tcW w:w="1733" w:type="dxa"/>
          </w:tcPr>
          <w:p w14:paraId="53ABB312" w14:textId="77777777" w:rsidR="00102292" w:rsidRPr="00456393" w:rsidRDefault="00102292" w:rsidP="005E4AB9">
            <w:pPr>
              <w:pStyle w:val="Tabelltext"/>
              <w:rPr>
                <w:szCs w:val="20"/>
              </w:rPr>
            </w:pPr>
            <w:r w:rsidRPr="00456393">
              <w:rPr>
                <w:sz w:val="20"/>
                <w:szCs w:val="20"/>
              </w:rPr>
              <w:t>Noggrannhet</w:t>
            </w:r>
          </w:p>
        </w:tc>
        <w:tc>
          <w:tcPr>
            <w:tcW w:w="1711" w:type="dxa"/>
          </w:tcPr>
          <w:p w14:paraId="7D01AC53" w14:textId="61AD8CB0" w:rsidR="00102292" w:rsidRPr="007507D1" w:rsidRDefault="00102292" w:rsidP="00FF4973">
            <w:pPr>
              <w:pStyle w:val="Tabelltext"/>
              <w:rPr>
                <w:szCs w:val="20"/>
              </w:rPr>
            </w:pPr>
            <w:r w:rsidRPr="007507D1">
              <w:rPr>
                <w:sz w:val="20"/>
                <w:szCs w:val="20"/>
              </w:rPr>
              <w:t>Upplösning</w:t>
            </w:r>
          </w:p>
        </w:tc>
        <w:tc>
          <w:tcPr>
            <w:tcW w:w="1790" w:type="dxa"/>
          </w:tcPr>
          <w:p w14:paraId="443CF6D8" w14:textId="486D5C87" w:rsidR="00102292" w:rsidRPr="00456393" w:rsidRDefault="00697AA7" w:rsidP="00697AA7">
            <w:pPr>
              <w:pStyle w:val="Tabelltext"/>
              <w:rPr>
                <w:szCs w:val="20"/>
              </w:rPr>
            </w:pPr>
            <w:r>
              <w:rPr>
                <w:sz w:val="20"/>
                <w:szCs w:val="20"/>
              </w:rPr>
              <w:t>Rekommenderad s</w:t>
            </w:r>
            <w:r w:rsidR="00102292" w:rsidRPr="00456393">
              <w:rPr>
                <w:sz w:val="20"/>
                <w:szCs w:val="20"/>
              </w:rPr>
              <w:t>amplingstid</w:t>
            </w:r>
            <w:r w:rsidR="003460A8">
              <w:rPr>
                <w:rStyle w:val="Fotnotsreferens"/>
                <w:sz w:val="20"/>
                <w:szCs w:val="20"/>
              </w:rPr>
              <w:footnoteReference w:id="2"/>
            </w:r>
          </w:p>
        </w:tc>
      </w:tr>
      <w:tr w:rsidR="00102292" w:rsidRPr="000A3236" w14:paraId="436F0612" w14:textId="77777777" w:rsidTr="004674A7">
        <w:tc>
          <w:tcPr>
            <w:tcW w:w="2016" w:type="dxa"/>
            <w:vAlign w:val="center"/>
          </w:tcPr>
          <w:p w14:paraId="519317E3" w14:textId="77777777" w:rsidR="00102292" w:rsidRPr="00456393" w:rsidRDefault="00102292" w:rsidP="00664542">
            <w:pPr>
              <w:pStyle w:val="Tabelltext"/>
              <w:rPr>
                <w:szCs w:val="20"/>
              </w:rPr>
            </w:pPr>
            <w:r w:rsidRPr="00456393">
              <w:rPr>
                <w:sz w:val="20"/>
                <w:szCs w:val="20"/>
              </w:rPr>
              <w:t>Momentan aktiv effekt</w:t>
            </w:r>
          </w:p>
        </w:tc>
        <w:tc>
          <w:tcPr>
            <w:tcW w:w="1733" w:type="dxa"/>
            <w:vAlign w:val="center"/>
          </w:tcPr>
          <w:p w14:paraId="130837CF" w14:textId="764F305C" w:rsidR="00102292" w:rsidRPr="00456393" w:rsidRDefault="003460A8" w:rsidP="003460A8">
            <w:pPr>
              <w:pStyle w:val="Tabelltext"/>
              <w:rPr>
                <w:szCs w:val="20"/>
              </w:rPr>
            </w:pPr>
            <w:r>
              <w:rPr>
                <w:sz w:val="20"/>
                <w:szCs w:val="20"/>
              </w:rPr>
              <w:t xml:space="preserve">Beroende på relevant kategori enligt </w:t>
            </w:r>
            <w:r>
              <w:rPr>
                <w:sz w:val="20"/>
                <w:szCs w:val="20"/>
              </w:rPr>
              <w:fldChar w:fldCharType="begin"/>
            </w:r>
            <w:r>
              <w:rPr>
                <w:sz w:val="20"/>
                <w:szCs w:val="20"/>
              </w:rPr>
              <w:instrText xml:space="preserve"> REF _Ref68161843 \h  \* MERGEFORMAT </w:instrText>
            </w:r>
            <w:r>
              <w:rPr>
                <w:sz w:val="20"/>
                <w:szCs w:val="20"/>
              </w:rPr>
            </w:r>
            <w:r>
              <w:rPr>
                <w:sz w:val="20"/>
                <w:szCs w:val="20"/>
              </w:rPr>
              <w:fldChar w:fldCharType="separate"/>
            </w:r>
            <w:r w:rsidR="00EA2A1C" w:rsidRPr="00E0113A">
              <w:t xml:space="preserve">Tabell </w:t>
            </w:r>
            <w:r w:rsidR="00EA2A1C" w:rsidRPr="00E0113A">
              <w:rPr>
                <w:noProof/>
              </w:rPr>
              <w:t>3</w:t>
            </w:r>
            <w:r>
              <w:rPr>
                <w:sz w:val="20"/>
                <w:szCs w:val="20"/>
              </w:rPr>
              <w:fldChar w:fldCharType="end"/>
            </w:r>
          </w:p>
        </w:tc>
        <w:tc>
          <w:tcPr>
            <w:tcW w:w="1711" w:type="dxa"/>
            <w:vAlign w:val="center"/>
          </w:tcPr>
          <w:p w14:paraId="3D51B998" w14:textId="66DA25E9" w:rsidR="00102292" w:rsidRPr="00D012EA" w:rsidRDefault="00047400" w:rsidP="004674A7">
            <w:pPr>
              <w:pStyle w:val="Tabelltext"/>
              <w:rPr>
                <w:szCs w:val="20"/>
              </w:rPr>
            </w:pPr>
            <w:r>
              <w:rPr>
                <w:sz w:val="20"/>
                <w:szCs w:val="20"/>
              </w:rPr>
              <w:t>0,1 MW</w:t>
            </w:r>
          </w:p>
        </w:tc>
        <w:tc>
          <w:tcPr>
            <w:tcW w:w="1790" w:type="dxa"/>
            <w:vAlign w:val="center"/>
          </w:tcPr>
          <w:p w14:paraId="0349DB4F" w14:textId="64C8055A" w:rsidR="00047400" w:rsidRPr="004674A7" w:rsidRDefault="00047400" w:rsidP="003460A8">
            <w:pPr>
              <w:pStyle w:val="Tabelltext"/>
              <w:rPr>
                <w:sz w:val="20"/>
                <w:szCs w:val="20"/>
              </w:rPr>
            </w:pPr>
            <w:r>
              <w:rPr>
                <w:sz w:val="20"/>
                <w:szCs w:val="20"/>
              </w:rPr>
              <w:t>1</w:t>
            </w:r>
            <w:r w:rsidR="00102292" w:rsidRPr="00456393">
              <w:rPr>
                <w:sz w:val="20"/>
                <w:szCs w:val="20"/>
              </w:rPr>
              <w:t xml:space="preserve"> s</w:t>
            </w:r>
          </w:p>
        </w:tc>
      </w:tr>
      <w:tr w:rsidR="00047400" w:rsidRPr="000A3236" w14:paraId="5384C48A" w14:textId="77777777" w:rsidTr="00047400">
        <w:tc>
          <w:tcPr>
            <w:tcW w:w="2016" w:type="dxa"/>
          </w:tcPr>
          <w:p w14:paraId="4C577015" w14:textId="77777777" w:rsidR="00047400" w:rsidRPr="00456393" w:rsidRDefault="00047400" w:rsidP="005E4AB9">
            <w:pPr>
              <w:pStyle w:val="Tabelltext"/>
              <w:rPr>
                <w:sz w:val="20"/>
                <w:szCs w:val="20"/>
              </w:rPr>
            </w:pPr>
          </w:p>
        </w:tc>
        <w:tc>
          <w:tcPr>
            <w:tcW w:w="1733" w:type="dxa"/>
          </w:tcPr>
          <w:p w14:paraId="5173BF94" w14:textId="77777777" w:rsidR="00047400" w:rsidRDefault="00047400" w:rsidP="00047400">
            <w:pPr>
              <w:pStyle w:val="Tabelltext"/>
              <w:rPr>
                <w:sz w:val="20"/>
                <w:szCs w:val="20"/>
              </w:rPr>
            </w:pPr>
          </w:p>
        </w:tc>
        <w:tc>
          <w:tcPr>
            <w:tcW w:w="1711" w:type="dxa"/>
          </w:tcPr>
          <w:p w14:paraId="60896475" w14:textId="77777777" w:rsidR="00047400" w:rsidRDefault="00047400" w:rsidP="00D012EA">
            <w:pPr>
              <w:pStyle w:val="Tabelltext"/>
              <w:rPr>
                <w:sz w:val="20"/>
                <w:szCs w:val="20"/>
              </w:rPr>
            </w:pPr>
          </w:p>
        </w:tc>
        <w:tc>
          <w:tcPr>
            <w:tcW w:w="1790" w:type="dxa"/>
          </w:tcPr>
          <w:p w14:paraId="11DFD897" w14:textId="77777777" w:rsidR="00047400" w:rsidRDefault="00047400" w:rsidP="00047400">
            <w:pPr>
              <w:pStyle w:val="Tabelltext"/>
              <w:rPr>
                <w:sz w:val="20"/>
                <w:szCs w:val="20"/>
              </w:rPr>
            </w:pPr>
          </w:p>
        </w:tc>
      </w:tr>
    </w:tbl>
    <w:p w14:paraId="1548A601" w14:textId="77777777" w:rsidR="00102292" w:rsidRDefault="00102292" w:rsidP="00102292">
      <w:pPr>
        <w:pStyle w:val="Brdtext"/>
      </w:pPr>
    </w:p>
    <w:p w14:paraId="4FB8ECAF" w14:textId="77777777" w:rsidR="00102292" w:rsidRDefault="00102292" w:rsidP="00102292">
      <w:pPr>
        <w:pStyle w:val="Brdtext"/>
      </w:pPr>
    </w:p>
    <w:p w14:paraId="1449082F" w14:textId="1335219B" w:rsidR="00A74E82" w:rsidRDefault="00102292" w:rsidP="005E09D9">
      <w:pPr>
        <w:pStyle w:val="Rubrik1"/>
        <w:numPr>
          <w:ilvl w:val="0"/>
          <w:numId w:val="15"/>
        </w:numPr>
      </w:pPr>
      <w:r>
        <w:br w:type="column"/>
      </w:r>
      <w:r w:rsidR="00A74E82">
        <w:lastRenderedPageBreak/>
        <w:t>Inför genomförande av test</w:t>
      </w:r>
    </w:p>
    <w:p w14:paraId="5CA14B04" w14:textId="4C452185" w:rsidR="00007FA5" w:rsidRPr="00CB7023" w:rsidRDefault="0046605F" w:rsidP="00A74E82">
      <w:pPr>
        <w:pStyle w:val="Numreradlista"/>
        <w:numPr>
          <w:ilvl w:val="0"/>
          <w:numId w:val="0"/>
        </w:numPr>
      </w:pPr>
      <w:r>
        <w:t>I förkvalificeringen för leverans av aFRR</w:t>
      </w:r>
      <w:r w:rsidR="00A74E82">
        <w:t xml:space="preserve"> </w:t>
      </w:r>
      <w:r>
        <w:t>ingår två test</w:t>
      </w:r>
      <w:r w:rsidR="007B6F29">
        <w:t>segment</w:t>
      </w:r>
      <w:r>
        <w:t>, ett signaltest och ett</w:t>
      </w:r>
      <w:r w:rsidR="00A74E82">
        <w:t xml:space="preserve"> </w:t>
      </w:r>
      <w:r w:rsidR="004B2EBC">
        <w:t>kapacitetstest</w:t>
      </w:r>
      <w:r w:rsidR="00A74E82">
        <w:t>. Test</w:t>
      </w:r>
      <w:r w:rsidR="007B6F29">
        <w:t>segmenten</w:t>
      </w:r>
      <w:r w:rsidR="00A74E82">
        <w:t xml:space="preserve"> u</w:t>
      </w:r>
      <w:r w:rsidR="007B6F29">
        <w:t>tförs och protokollförs separat,</w:t>
      </w:r>
      <w:r w:rsidR="00007FA5">
        <w:t xml:space="preserve"> </w:t>
      </w:r>
      <w:r w:rsidR="007B6F29">
        <w:t>och inleds med s</w:t>
      </w:r>
      <w:r w:rsidR="00007FA5">
        <w:t xml:space="preserve">ignaltestet. För att få genomföra </w:t>
      </w:r>
      <w:r w:rsidR="004B2EBC">
        <w:t>kapacitetstestet</w:t>
      </w:r>
      <w:r w:rsidR="00007FA5">
        <w:t xml:space="preserve"> krävs ett godkänt signaltest.</w:t>
      </w:r>
      <w:r w:rsidR="004B2EBC">
        <w:t xml:space="preserve"> Signaltestet behöver enbart genomföras om ansökan gäller en ny </w:t>
      </w:r>
      <w:r w:rsidR="00F26727">
        <w:t>leverantör</w:t>
      </w:r>
      <w:r w:rsidR="00111269">
        <w:t xml:space="preserve"> eller om en befintlig aktör önskar leverera aFRR i ett nytt budområde</w:t>
      </w:r>
      <w:r w:rsidR="004B2EBC">
        <w:t xml:space="preserve">. </w:t>
      </w:r>
      <w:r w:rsidR="00DA1654">
        <w:t xml:space="preserve">För en befintlig </w:t>
      </w:r>
      <w:r w:rsidR="00F26727">
        <w:t>leverantör</w:t>
      </w:r>
      <w:r w:rsidR="00DA1654">
        <w:t xml:space="preserve"> räcker det med att kapacitetstestet genomförs.</w:t>
      </w:r>
    </w:p>
    <w:p w14:paraId="2C2EBCEE" w14:textId="34A951CA" w:rsidR="00A74E82" w:rsidRDefault="005E09D9" w:rsidP="00A74E82">
      <w:pPr>
        <w:pStyle w:val="Rubrik2"/>
      </w:pPr>
      <w:r>
        <w:t>3</w:t>
      </w:r>
      <w:r w:rsidR="00A74E82">
        <w:t>.1 Inför signaltest</w:t>
      </w:r>
    </w:p>
    <w:p w14:paraId="06FFBDDE" w14:textId="0B619E76" w:rsidR="004D6A2B" w:rsidRDefault="00604615" w:rsidP="00A74E82">
      <w:pPr>
        <w:pStyle w:val="Brdtext"/>
      </w:pPr>
      <w:r>
        <w:t>Leverantören av aFRR</w:t>
      </w:r>
      <w:r w:rsidR="004D6A2B">
        <w:t xml:space="preserve"> ska i samarbete med Svenska kraftnät upprätta de signaler för realtidskommunikation som behövs för leverans av aFRR.</w:t>
      </w:r>
    </w:p>
    <w:p w14:paraId="20511F81" w14:textId="5462CB7F" w:rsidR="00A74E82" w:rsidRPr="00A74E82" w:rsidRDefault="005E09D9" w:rsidP="00A74E82">
      <w:pPr>
        <w:pStyle w:val="Rubrik2"/>
      </w:pPr>
      <w:r>
        <w:t>3</w:t>
      </w:r>
      <w:r w:rsidR="00A74E82">
        <w:t xml:space="preserve">.2 Inför </w:t>
      </w:r>
      <w:r w:rsidR="00950A4C">
        <w:t>kapacitetstest</w:t>
      </w:r>
    </w:p>
    <w:p w14:paraId="50CBA2F4" w14:textId="77777777" w:rsidR="00A74E82" w:rsidRPr="00456393" w:rsidRDefault="00A74E82" w:rsidP="00A74E82">
      <w:pPr>
        <w:pStyle w:val="Numreradlista"/>
        <w:numPr>
          <w:ilvl w:val="0"/>
          <w:numId w:val="0"/>
        </w:numPr>
        <w:ind w:left="360" w:hanging="360"/>
      </w:pPr>
      <w:r>
        <w:t xml:space="preserve">Inför test bör följande punkter kontrolleras. </w:t>
      </w:r>
    </w:p>
    <w:p w14:paraId="2F37471A" w14:textId="5CC201B5" w:rsidR="00A74E82" w:rsidRDefault="00A74E82" w:rsidP="00A74E82">
      <w:pPr>
        <w:pStyle w:val="Punktlista"/>
      </w:pPr>
      <w:r w:rsidRPr="00077E01">
        <w:t>Inställning av enhet eller grupp ska ske så att den tillhandahåller aktiv effekt enligt plan.</w:t>
      </w:r>
    </w:p>
    <w:p w14:paraId="19C86DC0" w14:textId="4B162FFD" w:rsidR="002C5346" w:rsidRPr="00077E01" w:rsidRDefault="003C2B95" w:rsidP="00A74E82">
      <w:pPr>
        <w:pStyle w:val="Punktlista"/>
      </w:pPr>
      <w:r>
        <w:t>Finns funktion för leverans av FCR hos enheten eller gruppen ska den ej vara aktiv</w:t>
      </w:r>
      <w:r w:rsidR="007B6F29">
        <w:t xml:space="preserve"> under testet</w:t>
      </w:r>
      <w:r>
        <w:t>.</w:t>
      </w:r>
      <w:r w:rsidR="002C5346">
        <w:t xml:space="preserve"> </w:t>
      </w:r>
    </w:p>
    <w:p w14:paraId="76AF8FD3" w14:textId="2FC2A8C2" w:rsidR="00A74E82" w:rsidRDefault="00A74E82" w:rsidP="00A74E82">
      <w:pPr>
        <w:pStyle w:val="Punktlista"/>
      </w:pPr>
      <w:r w:rsidRPr="00077E01">
        <w:t xml:space="preserve">Säkerställ att nedanstående data registreras </w:t>
      </w:r>
      <w:r>
        <w:t>och sparas under testet</w:t>
      </w:r>
      <w:r w:rsidR="00C37C61">
        <w:t>, se beskrivning a</w:t>
      </w:r>
      <w:r w:rsidR="00DC6173">
        <w:t>v datarapportering under punkt 5</w:t>
      </w:r>
      <w:r>
        <w:t>.</w:t>
      </w:r>
    </w:p>
    <w:p w14:paraId="482D9A9F" w14:textId="259081AA" w:rsidR="00A74E82" w:rsidRDefault="00F0231E" w:rsidP="005B1CE3">
      <w:pPr>
        <w:pStyle w:val="Punktlista"/>
      </w:pPr>
      <w:r>
        <w:t>Säkerställ att utrustning för loggning av data är korrekt tidssynkroniserad.</w:t>
      </w:r>
    </w:p>
    <w:p w14:paraId="2C8C3F19" w14:textId="5C0F47E0" w:rsidR="00A8669A" w:rsidRDefault="00A8669A" w:rsidP="005B1CE3">
      <w:pPr>
        <w:pStyle w:val="Beskrivning"/>
        <w:keepNext/>
      </w:pPr>
      <w:r>
        <w:t xml:space="preserve">Tabell </w:t>
      </w:r>
      <w:r w:rsidR="003B076F">
        <w:fldChar w:fldCharType="begin"/>
      </w:r>
      <w:r w:rsidR="003B076F">
        <w:instrText xml:space="preserve"> SEQ Tabell \* ARABIC </w:instrText>
      </w:r>
      <w:r w:rsidR="003B076F">
        <w:fldChar w:fldCharType="separate"/>
      </w:r>
      <w:r w:rsidR="00875271">
        <w:rPr>
          <w:noProof/>
        </w:rPr>
        <w:t>5</w:t>
      </w:r>
      <w:r w:rsidR="003B076F">
        <w:rPr>
          <w:noProof/>
        </w:rPr>
        <w:fldChar w:fldCharType="end"/>
      </w:r>
      <w:r>
        <w:t>. Sammanfattning av mätning och loggning under test.</w:t>
      </w:r>
    </w:p>
    <w:tbl>
      <w:tblPr>
        <w:tblStyle w:val="SvKTabellformat"/>
        <w:tblW w:w="7311" w:type="dxa"/>
        <w:tblLook w:val="04A0" w:firstRow="1" w:lastRow="0" w:firstColumn="1" w:lastColumn="0" w:noHBand="0" w:noVBand="1"/>
      </w:tblPr>
      <w:tblGrid>
        <w:gridCol w:w="2492"/>
        <w:gridCol w:w="2126"/>
        <w:gridCol w:w="2693"/>
      </w:tblGrid>
      <w:tr w:rsidR="00A74E82" w:rsidRPr="00B858C7" w14:paraId="1B99EDAA" w14:textId="77777777" w:rsidTr="005E4AB9">
        <w:trPr>
          <w:cnfStyle w:val="100000000000" w:firstRow="1" w:lastRow="0" w:firstColumn="0" w:lastColumn="0" w:oddVBand="0" w:evenVBand="0" w:oddHBand="0" w:evenHBand="0" w:firstRowFirstColumn="0" w:firstRowLastColumn="0" w:lastRowFirstColumn="0" w:lastRowLastColumn="0"/>
        </w:trPr>
        <w:tc>
          <w:tcPr>
            <w:tcW w:w="2492" w:type="dxa"/>
          </w:tcPr>
          <w:p w14:paraId="1891A11A" w14:textId="77777777" w:rsidR="00A74E82" w:rsidRPr="00B858C7" w:rsidRDefault="00A74E82" w:rsidP="005E4AB9">
            <w:pPr>
              <w:pStyle w:val="Tabelltext"/>
              <w:rPr>
                <w:sz w:val="20"/>
                <w:szCs w:val="20"/>
              </w:rPr>
            </w:pPr>
          </w:p>
        </w:tc>
        <w:tc>
          <w:tcPr>
            <w:tcW w:w="2126" w:type="dxa"/>
          </w:tcPr>
          <w:p w14:paraId="25DE2608" w14:textId="77777777" w:rsidR="00A74E82" w:rsidRPr="00B858C7" w:rsidRDefault="00A74E82" w:rsidP="005E4AB9">
            <w:pPr>
              <w:pStyle w:val="Tabelltext"/>
              <w:jc w:val="right"/>
              <w:rPr>
                <w:b/>
                <w:sz w:val="20"/>
                <w:szCs w:val="20"/>
              </w:rPr>
            </w:pPr>
            <w:r>
              <w:rPr>
                <w:sz w:val="20"/>
                <w:szCs w:val="20"/>
              </w:rPr>
              <w:t>Enhet</w:t>
            </w:r>
          </w:p>
        </w:tc>
        <w:tc>
          <w:tcPr>
            <w:tcW w:w="2693" w:type="dxa"/>
          </w:tcPr>
          <w:p w14:paraId="5665D49A" w14:textId="30D36CEB" w:rsidR="00A74E82" w:rsidRPr="00B858C7" w:rsidRDefault="00697AA7" w:rsidP="00697AA7">
            <w:pPr>
              <w:pStyle w:val="Tabelltext"/>
              <w:ind w:left="-339" w:firstLine="339"/>
              <w:jc w:val="right"/>
              <w:rPr>
                <w:b/>
                <w:sz w:val="20"/>
                <w:szCs w:val="20"/>
              </w:rPr>
            </w:pPr>
            <w:r>
              <w:rPr>
                <w:sz w:val="20"/>
                <w:szCs w:val="20"/>
              </w:rPr>
              <w:t>Rekommenderad s</w:t>
            </w:r>
            <w:r w:rsidR="00A74E82">
              <w:rPr>
                <w:sz w:val="20"/>
                <w:szCs w:val="20"/>
              </w:rPr>
              <w:t>amplingstid</w:t>
            </w:r>
            <w:r w:rsidR="00A74E82">
              <w:rPr>
                <w:rStyle w:val="Fotnotsreferens"/>
                <w:sz w:val="20"/>
                <w:szCs w:val="20"/>
              </w:rPr>
              <w:footnoteReference w:id="3"/>
            </w:r>
          </w:p>
        </w:tc>
      </w:tr>
      <w:tr w:rsidR="00A74E82" w:rsidRPr="00B858C7" w14:paraId="22620D3F" w14:textId="77777777" w:rsidTr="005E4AB9">
        <w:tc>
          <w:tcPr>
            <w:tcW w:w="2492" w:type="dxa"/>
          </w:tcPr>
          <w:p w14:paraId="7B3F64CD" w14:textId="77777777" w:rsidR="00A74E82" w:rsidRPr="00CC17EF" w:rsidRDefault="00A74E82" w:rsidP="005E4AB9">
            <w:pPr>
              <w:pStyle w:val="Tabelltext"/>
              <w:rPr>
                <w:sz w:val="20"/>
                <w:szCs w:val="20"/>
              </w:rPr>
            </w:pPr>
            <w:r w:rsidRPr="00CC17EF">
              <w:rPr>
                <w:sz w:val="20"/>
                <w:szCs w:val="20"/>
              </w:rPr>
              <w:t>Momentan aktiv effekt</w:t>
            </w:r>
          </w:p>
        </w:tc>
        <w:tc>
          <w:tcPr>
            <w:tcW w:w="2126" w:type="dxa"/>
          </w:tcPr>
          <w:p w14:paraId="4A0B08B4" w14:textId="77777777" w:rsidR="00A74E82" w:rsidRPr="00B858C7" w:rsidRDefault="00A74E82" w:rsidP="005E4AB9">
            <w:pPr>
              <w:pStyle w:val="Tabelltext"/>
              <w:jc w:val="right"/>
              <w:rPr>
                <w:sz w:val="20"/>
                <w:szCs w:val="20"/>
              </w:rPr>
            </w:pPr>
            <w:r>
              <w:rPr>
                <w:sz w:val="20"/>
                <w:szCs w:val="20"/>
              </w:rPr>
              <w:t>MW</w:t>
            </w:r>
          </w:p>
        </w:tc>
        <w:tc>
          <w:tcPr>
            <w:tcW w:w="2693" w:type="dxa"/>
          </w:tcPr>
          <w:p w14:paraId="2459C187" w14:textId="77777777" w:rsidR="00A74E82" w:rsidRPr="00B858C7" w:rsidRDefault="00A74E82" w:rsidP="005E4AB9">
            <w:pPr>
              <w:pStyle w:val="Tabelltext"/>
              <w:jc w:val="right"/>
              <w:rPr>
                <w:sz w:val="20"/>
                <w:szCs w:val="20"/>
              </w:rPr>
            </w:pPr>
            <w:r>
              <w:rPr>
                <w:sz w:val="20"/>
                <w:szCs w:val="20"/>
              </w:rPr>
              <w:t>1 s</w:t>
            </w:r>
          </w:p>
        </w:tc>
      </w:tr>
      <w:tr w:rsidR="00A74E82" w:rsidRPr="00B858C7" w14:paraId="689592C4" w14:textId="77777777" w:rsidTr="005E4AB9">
        <w:tc>
          <w:tcPr>
            <w:tcW w:w="2492" w:type="dxa"/>
          </w:tcPr>
          <w:p w14:paraId="26A2DC04" w14:textId="77777777" w:rsidR="00A74E82" w:rsidRPr="00CC17EF" w:rsidRDefault="00A74E82" w:rsidP="005E4AB9">
            <w:pPr>
              <w:pStyle w:val="Tabelltext"/>
              <w:rPr>
                <w:sz w:val="20"/>
                <w:szCs w:val="20"/>
              </w:rPr>
            </w:pPr>
            <w:r>
              <w:rPr>
                <w:sz w:val="20"/>
                <w:szCs w:val="20"/>
              </w:rPr>
              <w:t>Tillgänglig kapacitet</w:t>
            </w:r>
          </w:p>
        </w:tc>
        <w:tc>
          <w:tcPr>
            <w:tcW w:w="2126" w:type="dxa"/>
          </w:tcPr>
          <w:p w14:paraId="50DF4CC9" w14:textId="77777777" w:rsidR="00A74E82" w:rsidRDefault="00A74E82" w:rsidP="005E4AB9">
            <w:pPr>
              <w:pStyle w:val="Tabelltext"/>
              <w:jc w:val="right"/>
              <w:rPr>
                <w:sz w:val="20"/>
                <w:szCs w:val="20"/>
              </w:rPr>
            </w:pPr>
            <w:r>
              <w:rPr>
                <w:sz w:val="20"/>
                <w:szCs w:val="20"/>
              </w:rPr>
              <w:t>MW</w:t>
            </w:r>
          </w:p>
        </w:tc>
        <w:tc>
          <w:tcPr>
            <w:tcW w:w="2693" w:type="dxa"/>
          </w:tcPr>
          <w:p w14:paraId="219191DD" w14:textId="77777777" w:rsidR="00A74E82" w:rsidRDefault="00A74E82" w:rsidP="005E4AB9">
            <w:pPr>
              <w:pStyle w:val="Tabelltext"/>
              <w:jc w:val="right"/>
              <w:rPr>
                <w:sz w:val="20"/>
                <w:szCs w:val="20"/>
              </w:rPr>
            </w:pPr>
            <w:r>
              <w:rPr>
                <w:sz w:val="20"/>
                <w:szCs w:val="20"/>
              </w:rPr>
              <w:t>1 s</w:t>
            </w:r>
          </w:p>
        </w:tc>
      </w:tr>
      <w:tr w:rsidR="00A74E82" w14:paraId="1401E06C" w14:textId="77777777" w:rsidTr="005E4AB9">
        <w:tc>
          <w:tcPr>
            <w:tcW w:w="2492" w:type="dxa"/>
          </w:tcPr>
          <w:p w14:paraId="4D2C4DFB" w14:textId="77777777" w:rsidR="00A74E82" w:rsidRPr="00CC17EF" w:rsidRDefault="00A74E82" w:rsidP="005E4AB9">
            <w:pPr>
              <w:pStyle w:val="Tabelltext"/>
              <w:rPr>
                <w:sz w:val="20"/>
                <w:szCs w:val="20"/>
              </w:rPr>
            </w:pPr>
            <w:r>
              <w:rPr>
                <w:sz w:val="20"/>
                <w:szCs w:val="20"/>
              </w:rPr>
              <w:t>Aktuellt mottaget börvärde</w:t>
            </w:r>
          </w:p>
        </w:tc>
        <w:tc>
          <w:tcPr>
            <w:tcW w:w="2126" w:type="dxa"/>
          </w:tcPr>
          <w:p w14:paraId="37B87BCA" w14:textId="77777777" w:rsidR="00A74E82" w:rsidRDefault="00A74E82" w:rsidP="005E4AB9">
            <w:pPr>
              <w:pStyle w:val="Tabelltext"/>
              <w:jc w:val="right"/>
              <w:rPr>
                <w:sz w:val="20"/>
                <w:szCs w:val="20"/>
              </w:rPr>
            </w:pPr>
            <w:r>
              <w:rPr>
                <w:sz w:val="20"/>
                <w:szCs w:val="20"/>
              </w:rPr>
              <w:t>MW</w:t>
            </w:r>
          </w:p>
        </w:tc>
        <w:tc>
          <w:tcPr>
            <w:tcW w:w="2693" w:type="dxa"/>
          </w:tcPr>
          <w:p w14:paraId="3B71B38C" w14:textId="77777777" w:rsidR="00A74E82" w:rsidRDefault="00A74E82" w:rsidP="005E4AB9">
            <w:pPr>
              <w:pStyle w:val="Tabelltext"/>
              <w:jc w:val="right"/>
              <w:rPr>
                <w:sz w:val="20"/>
                <w:szCs w:val="20"/>
              </w:rPr>
            </w:pPr>
            <w:r>
              <w:rPr>
                <w:sz w:val="20"/>
                <w:szCs w:val="20"/>
              </w:rPr>
              <w:t>1 s</w:t>
            </w:r>
          </w:p>
        </w:tc>
      </w:tr>
      <w:tr w:rsidR="00A74E82" w:rsidRPr="00B858C7" w14:paraId="19E016BA" w14:textId="77777777" w:rsidTr="005E4AB9">
        <w:tc>
          <w:tcPr>
            <w:tcW w:w="2492" w:type="dxa"/>
          </w:tcPr>
          <w:p w14:paraId="584324C5" w14:textId="77777777" w:rsidR="00A74E82" w:rsidRPr="00B858C7" w:rsidRDefault="00A74E82" w:rsidP="005E4AB9">
            <w:pPr>
              <w:pStyle w:val="Tabelltext"/>
              <w:rPr>
                <w:b/>
                <w:sz w:val="20"/>
                <w:szCs w:val="20"/>
              </w:rPr>
            </w:pPr>
            <w:r>
              <w:rPr>
                <w:sz w:val="20"/>
                <w:szCs w:val="20"/>
              </w:rPr>
              <w:t>aFRR-reglering tillåten</w:t>
            </w:r>
            <w:r>
              <w:rPr>
                <w:rStyle w:val="Fotnotsreferens"/>
                <w:sz w:val="20"/>
                <w:szCs w:val="20"/>
              </w:rPr>
              <w:footnoteReference w:id="4"/>
            </w:r>
            <w:r>
              <w:rPr>
                <w:sz w:val="20"/>
                <w:szCs w:val="20"/>
              </w:rPr>
              <w:t xml:space="preserve"> </w:t>
            </w:r>
          </w:p>
        </w:tc>
        <w:tc>
          <w:tcPr>
            <w:tcW w:w="2126" w:type="dxa"/>
          </w:tcPr>
          <w:p w14:paraId="22E6804C" w14:textId="3BA57E9B" w:rsidR="00A74E82" w:rsidRPr="00B858C7" w:rsidRDefault="00591F3B" w:rsidP="005E4AB9">
            <w:pPr>
              <w:pStyle w:val="Tabelltext"/>
              <w:jc w:val="right"/>
              <w:rPr>
                <w:sz w:val="20"/>
                <w:szCs w:val="20"/>
              </w:rPr>
            </w:pPr>
            <w:r>
              <w:rPr>
                <w:sz w:val="20"/>
                <w:szCs w:val="20"/>
              </w:rPr>
              <w:t>ON/OFF</w:t>
            </w:r>
          </w:p>
        </w:tc>
        <w:tc>
          <w:tcPr>
            <w:tcW w:w="2693" w:type="dxa"/>
          </w:tcPr>
          <w:p w14:paraId="7FD49835" w14:textId="1860540E" w:rsidR="00A74E82" w:rsidRPr="00B858C7" w:rsidRDefault="00A74E82" w:rsidP="005E4AB9">
            <w:pPr>
              <w:pStyle w:val="Tabelltext"/>
              <w:jc w:val="right"/>
              <w:rPr>
                <w:sz w:val="20"/>
                <w:szCs w:val="20"/>
              </w:rPr>
            </w:pPr>
            <w:r>
              <w:rPr>
                <w:sz w:val="20"/>
                <w:szCs w:val="20"/>
              </w:rPr>
              <w:t>1</w:t>
            </w:r>
            <w:r w:rsidR="00604615">
              <w:rPr>
                <w:sz w:val="20"/>
                <w:szCs w:val="20"/>
              </w:rPr>
              <w:t xml:space="preserve"> </w:t>
            </w:r>
            <w:r>
              <w:rPr>
                <w:sz w:val="20"/>
                <w:szCs w:val="20"/>
              </w:rPr>
              <w:t>s</w:t>
            </w:r>
          </w:p>
        </w:tc>
      </w:tr>
      <w:tr w:rsidR="00A74E82" w:rsidRPr="00B858C7" w14:paraId="5C5E382B" w14:textId="77777777" w:rsidTr="005E4AB9">
        <w:tc>
          <w:tcPr>
            <w:tcW w:w="2492" w:type="dxa"/>
          </w:tcPr>
          <w:p w14:paraId="44D49F95" w14:textId="77777777" w:rsidR="00A74E82" w:rsidRPr="00B858C7" w:rsidRDefault="00A74E82" w:rsidP="005E4AB9">
            <w:pPr>
              <w:pStyle w:val="Tabelltext"/>
              <w:rPr>
                <w:b/>
                <w:sz w:val="20"/>
                <w:szCs w:val="20"/>
              </w:rPr>
            </w:pPr>
          </w:p>
        </w:tc>
        <w:tc>
          <w:tcPr>
            <w:tcW w:w="2126" w:type="dxa"/>
          </w:tcPr>
          <w:p w14:paraId="2BFAF1F2" w14:textId="77777777" w:rsidR="00A74E82" w:rsidRPr="00B858C7" w:rsidRDefault="00A74E82" w:rsidP="005E4AB9">
            <w:pPr>
              <w:pStyle w:val="Tabelltext"/>
              <w:rPr>
                <w:sz w:val="20"/>
                <w:szCs w:val="20"/>
              </w:rPr>
            </w:pPr>
          </w:p>
        </w:tc>
        <w:tc>
          <w:tcPr>
            <w:tcW w:w="2693" w:type="dxa"/>
          </w:tcPr>
          <w:p w14:paraId="55208A15" w14:textId="77777777" w:rsidR="00A74E82" w:rsidRPr="00B858C7" w:rsidRDefault="00A74E82" w:rsidP="005E4AB9">
            <w:pPr>
              <w:pStyle w:val="Tabelltext"/>
              <w:rPr>
                <w:sz w:val="20"/>
                <w:szCs w:val="20"/>
              </w:rPr>
            </w:pPr>
          </w:p>
        </w:tc>
      </w:tr>
    </w:tbl>
    <w:p w14:paraId="259DC315" w14:textId="1CCC3249" w:rsidR="00A74E82" w:rsidRDefault="00A74E82" w:rsidP="00A74E82">
      <w:pPr>
        <w:pStyle w:val="Punktlista"/>
        <w:numPr>
          <w:ilvl w:val="0"/>
          <w:numId w:val="0"/>
        </w:numPr>
      </w:pPr>
      <w:r w:rsidRPr="005F4BF4">
        <w:t xml:space="preserve">Utöver ovanstående data </w:t>
      </w:r>
      <w:r>
        <w:t>ska</w:t>
      </w:r>
      <w:r w:rsidRPr="005F4BF4">
        <w:t xml:space="preserve"> betydande tillstånd som </w:t>
      </w:r>
      <w:r>
        <w:t>har inverkan på</w:t>
      </w:r>
      <w:r w:rsidRPr="005F4BF4">
        <w:t xml:space="preserve"> </w:t>
      </w:r>
      <w:r>
        <w:t>testresultatet loggas under testet</w:t>
      </w:r>
      <w:r w:rsidRPr="005F4BF4">
        <w:t>.</w:t>
      </w:r>
      <w:r>
        <w:t xml:space="preserve"> </w:t>
      </w:r>
      <w:r w:rsidRPr="005F4BF4">
        <w:t xml:space="preserve">Sådana data inbegriper men begränsas inte till följande: </w:t>
      </w:r>
    </w:p>
    <w:p w14:paraId="60B1E7D8" w14:textId="01DF9599" w:rsidR="00AD6C1A" w:rsidRPr="005F4BF4" w:rsidRDefault="00AD6C1A" w:rsidP="00A74E82">
      <w:pPr>
        <w:pStyle w:val="Punktlista"/>
        <w:numPr>
          <w:ilvl w:val="0"/>
          <w:numId w:val="0"/>
        </w:numPr>
      </w:pPr>
      <w:r w:rsidRPr="001C0F98">
        <w:t>För samtliga enheter:</w:t>
      </w:r>
    </w:p>
    <w:p w14:paraId="2488DABE" w14:textId="7A118EB0" w:rsidR="003A704D" w:rsidRPr="009D0603" w:rsidRDefault="00A74E82" w:rsidP="00AD6C1A">
      <w:pPr>
        <w:pStyle w:val="Punktlista"/>
        <w:tabs>
          <w:tab w:val="clear" w:pos="360"/>
          <w:tab w:val="num" w:pos="720"/>
        </w:tabs>
        <w:ind w:left="720"/>
      </w:pPr>
      <w:r w:rsidRPr="009D0603">
        <w:t xml:space="preserve">Statusidentifiering som anger vilken inställning av kontrollparametrar som är aktiv, om denna kan ändras automatiskt under testet. </w:t>
      </w:r>
    </w:p>
    <w:p w14:paraId="4B649062" w14:textId="35A0508E" w:rsidR="00A74E82" w:rsidRPr="009D0603" w:rsidRDefault="00AD6C1A" w:rsidP="00591F3B">
      <w:pPr>
        <w:pStyle w:val="Punktlista"/>
        <w:numPr>
          <w:ilvl w:val="0"/>
          <w:numId w:val="0"/>
        </w:numPr>
        <w:ind w:left="360" w:hanging="360"/>
      </w:pPr>
      <w:r>
        <w:t>För</w:t>
      </w:r>
      <w:r w:rsidR="00A74E82" w:rsidRPr="009D0603">
        <w:t xml:space="preserve"> vattenkraftsanläggningar </w:t>
      </w:r>
    </w:p>
    <w:p w14:paraId="6C03D278" w14:textId="77777777" w:rsidR="00A74E82" w:rsidRPr="004E727A" w:rsidRDefault="00A74E82" w:rsidP="00A74E82">
      <w:pPr>
        <w:pStyle w:val="Punktlista"/>
        <w:tabs>
          <w:tab w:val="clear" w:pos="360"/>
          <w:tab w:val="num" w:pos="720"/>
        </w:tabs>
        <w:ind w:left="720"/>
      </w:pPr>
      <w:r w:rsidRPr="004E727A">
        <w:lastRenderedPageBreak/>
        <w:t>Utsignal från styrenhet</w:t>
      </w:r>
    </w:p>
    <w:p w14:paraId="7323AD05" w14:textId="043EEFEF" w:rsidR="00E0113A" w:rsidRPr="004E727A" w:rsidRDefault="00A74E82" w:rsidP="00E0113A">
      <w:pPr>
        <w:pStyle w:val="Punktlista"/>
        <w:tabs>
          <w:tab w:val="clear" w:pos="360"/>
          <w:tab w:val="num" w:pos="720"/>
        </w:tabs>
        <w:ind w:left="720"/>
      </w:pPr>
      <w:r w:rsidRPr="004E727A">
        <w:t>Löpskovelvinkel (Kaplan</w:t>
      </w:r>
      <w:r w:rsidR="005F1BA4">
        <w:t>turbiner</w:t>
      </w:r>
      <w:r w:rsidRPr="004E727A">
        <w:t>)</w:t>
      </w:r>
    </w:p>
    <w:p w14:paraId="4E5DCD2C" w14:textId="53AE5A14" w:rsidR="00E0113A" w:rsidRPr="004E727A" w:rsidRDefault="00E0113A" w:rsidP="00E0113A">
      <w:pPr>
        <w:pStyle w:val="Punktlista"/>
        <w:tabs>
          <w:tab w:val="clear" w:pos="360"/>
          <w:tab w:val="num" w:pos="720"/>
        </w:tabs>
        <w:ind w:left="720"/>
      </w:pPr>
      <w:r>
        <w:t>Ö</w:t>
      </w:r>
      <w:r w:rsidRPr="005F1BA4">
        <w:t xml:space="preserve">vre vattenyta </w:t>
      </w:r>
      <w:r>
        <w:t>[m.ö.h.]</w:t>
      </w:r>
    </w:p>
    <w:p w14:paraId="7B09FDE0" w14:textId="77777777" w:rsidR="00AD6C1A" w:rsidRDefault="00E0113A" w:rsidP="00E0113A">
      <w:pPr>
        <w:pStyle w:val="Punktlista"/>
        <w:tabs>
          <w:tab w:val="clear" w:pos="360"/>
          <w:tab w:val="num" w:pos="720"/>
        </w:tabs>
        <w:ind w:left="720"/>
      </w:pPr>
      <w:r>
        <w:t xml:space="preserve">Nedre vattenyta [m.ö.h] </w:t>
      </w:r>
    </w:p>
    <w:p w14:paraId="628F4085" w14:textId="0929850D" w:rsidR="00A74E82" w:rsidRPr="005F4BF4" w:rsidRDefault="00AD6C1A" w:rsidP="00AD6C1A">
      <w:pPr>
        <w:pStyle w:val="Punktlista"/>
        <w:numPr>
          <w:ilvl w:val="0"/>
          <w:numId w:val="0"/>
        </w:numPr>
        <w:ind w:left="360" w:hanging="360"/>
      </w:pPr>
      <w:r>
        <w:t>För</w:t>
      </w:r>
      <w:r w:rsidR="00A74E82" w:rsidRPr="005F4BF4">
        <w:t xml:space="preserve"> </w:t>
      </w:r>
      <w:r w:rsidR="00591F3B">
        <w:t>termiska anläggningar</w:t>
      </w:r>
      <w:r>
        <w:t>:</w:t>
      </w:r>
    </w:p>
    <w:p w14:paraId="2CAB1D49" w14:textId="77777777" w:rsidR="00A74E82" w:rsidRPr="005F4BF4" w:rsidRDefault="00A74E82" w:rsidP="00A74E82">
      <w:pPr>
        <w:pStyle w:val="Punktlista"/>
        <w:tabs>
          <w:tab w:val="clear" w:pos="360"/>
          <w:tab w:val="num" w:pos="720"/>
        </w:tabs>
        <w:ind w:left="720"/>
      </w:pPr>
      <w:r w:rsidRPr="005F4BF4">
        <w:t>Utsignal från styrenhet</w:t>
      </w:r>
    </w:p>
    <w:p w14:paraId="3B8F53BC" w14:textId="6320D3A4" w:rsidR="00A74E82" w:rsidRDefault="001C0F98" w:rsidP="00A74E82">
      <w:pPr>
        <w:pStyle w:val="Punktlista"/>
        <w:tabs>
          <w:tab w:val="clear" w:pos="360"/>
          <w:tab w:val="num" w:pos="720"/>
        </w:tabs>
        <w:ind w:left="720"/>
      </w:pPr>
      <w:r>
        <w:t>Turbinventilläge</w:t>
      </w:r>
    </w:p>
    <w:p w14:paraId="6AA8D1B0" w14:textId="77777777" w:rsidR="00AD6C1A" w:rsidRPr="001C0F98" w:rsidRDefault="00AD6C1A" w:rsidP="00AD6C1A">
      <w:pPr>
        <w:pStyle w:val="Punktlista"/>
        <w:numPr>
          <w:ilvl w:val="0"/>
          <w:numId w:val="0"/>
        </w:numPr>
        <w:spacing w:line="276" w:lineRule="auto"/>
        <w:ind w:left="360" w:hanging="360"/>
      </w:pPr>
      <w:r w:rsidRPr="001C0F98">
        <w:t>För vindkraftsanläggningar:</w:t>
      </w:r>
    </w:p>
    <w:p w14:paraId="69813C21" w14:textId="77777777" w:rsidR="00AD6C1A" w:rsidRPr="001C0F98" w:rsidRDefault="00AD6C1A" w:rsidP="00AD6C1A">
      <w:pPr>
        <w:pStyle w:val="Punktlista"/>
        <w:tabs>
          <w:tab w:val="clear" w:pos="360"/>
          <w:tab w:val="num" w:pos="720"/>
        </w:tabs>
        <w:spacing w:line="276" w:lineRule="auto"/>
        <w:ind w:left="720"/>
      </w:pPr>
      <w:r w:rsidRPr="001C0F98">
        <w:t>Vindhastighet [m/s]</w:t>
      </w:r>
    </w:p>
    <w:p w14:paraId="1DECAD1C" w14:textId="77777777" w:rsidR="00AD6C1A" w:rsidRPr="001C0F98" w:rsidRDefault="00AD6C1A" w:rsidP="00AD6C1A">
      <w:pPr>
        <w:pStyle w:val="Punktlista"/>
        <w:numPr>
          <w:ilvl w:val="0"/>
          <w:numId w:val="0"/>
        </w:numPr>
        <w:spacing w:line="276" w:lineRule="auto"/>
        <w:ind w:left="360" w:hanging="360"/>
      </w:pPr>
      <w:r w:rsidRPr="001C0F98">
        <w:t>För solkraftsanläggningar:</w:t>
      </w:r>
    </w:p>
    <w:p w14:paraId="79B17817" w14:textId="3690F370" w:rsidR="00AD6C1A" w:rsidRPr="001C0F98" w:rsidRDefault="00AD6C1A" w:rsidP="00AD6C1A">
      <w:pPr>
        <w:pStyle w:val="Punktlista"/>
        <w:tabs>
          <w:tab w:val="clear" w:pos="360"/>
          <w:tab w:val="num" w:pos="720"/>
        </w:tabs>
        <w:spacing w:line="276" w:lineRule="auto"/>
        <w:ind w:left="720"/>
      </w:pPr>
      <w:r w:rsidRPr="001C0F98">
        <w:t>Solinstrålning [W/m</w:t>
      </w:r>
      <w:r w:rsidRPr="001C0F98">
        <w:rPr>
          <w:vertAlign w:val="superscript"/>
        </w:rPr>
        <w:t>2</w:t>
      </w:r>
      <w:r w:rsidRPr="001C0F98">
        <w:t>]</w:t>
      </w:r>
    </w:p>
    <w:p w14:paraId="048C2173" w14:textId="6DC34C54" w:rsidR="00A74E82" w:rsidRDefault="00AD6C1A" w:rsidP="00591F3B">
      <w:pPr>
        <w:pStyle w:val="Brdtext"/>
      </w:pPr>
      <w:r>
        <w:t>För</w:t>
      </w:r>
      <w:r w:rsidR="00A74E82" w:rsidRPr="005F4BF4">
        <w:t xml:space="preserve"> batterier</w:t>
      </w:r>
    </w:p>
    <w:p w14:paraId="785A446D" w14:textId="58ABF205" w:rsidR="00591F3B" w:rsidRDefault="00A74E82" w:rsidP="00591F3B">
      <w:pPr>
        <w:pStyle w:val="Punktlista"/>
        <w:tabs>
          <w:tab w:val="clear" w:pos="360"/>
          <w:tab w:val="num" w:pos="720"/>
        </w:tabs>
        <w:ind w:left="720"/>
      </w:pPr>
      <w:r w:rsidRPr="005F4BF4">
        <w:t xml:space="preserve"> </w:t>
      </w:r>
      <w:r>
        <w:t>Laddningsnivå</w:t>
      </w:r>
      <w:r w:rsidR="00AD6C1A">
        <w:t xml:space="preserve"> (SOC)</w:t>
      </w:r>
    </w:p>
    <w:p w14:paraId="0A8D7DDC" w14:textId="00200765" w:rsidR="007B6AA6" w:rsidRDefault="00AD6C1A" w:rsidP="007B6AA6">
      <w:pPr>
        <w:pStyle w:val="Punktlista"/>
        <w:numPr>
          <w:ilvl w:val="0"/>
          <w:numId w:val="0"/>
        </w:numPr>
        <w:ind w:left="360" w:hanging="360"/>
      </w:pPr>
      <w:r>
        <w:t>För</w:t>
      </w:r>
      <w:r w:rsidR="007B6AA6">
        <w:t xml:space="preserve"> enheter eller grupper som saknar ett tydligt definierat börvärde</w:t>
      </w:r>
    </w:p>
    <w:p w14:paraId="17E790CA" w14:textId="24080812" w:rsidR="007B6AA6" w:rsidRDefault="00A37A27" w:rsidP="007B6AA6">
      <w:pPr>
        <w:pStyle w:val="Punktlista"/>
        <w:tabs>
          <w:tab w:val="clear" w:pos="360"/>
          <w:tab w:val="num" w:pos="720"/>
        </w:tabs>
        <w:ind w:left="720"/>
      </w:pPr>
      <w:r>
        <w:t>Beräknat referensvärde för aktiv effekt (</w:t>
      </w:r>
      <w:r w:rsidR="007B6AA6">
        <w:t>baseline</w:t>
      </w:r>
      <w:r>
        <w:t>)</w:t>
      </w:r>
    </w:p>
    <w:p w14:paraId="2ED2D9C2" w14:textId="79711FBA" w:rsidR="00A74E82" w:rsidRDefault="00A74E82">
      <w:pPr>
        <w:spacing w:after="160" w:line="2" w:lineRule="auto"/>
        <w:rPr>
          <w:sz w:val="20"/>
        </w:rPr>
      </w:pPr>
    </w:p>
    <w:p w14:paraId="088106FD" w14:textId="6F5A08C3" w:rsidR="00591F3B" w:rsidRDefault="00591F3B" w:rsidP="00591F3B">
      <w:pPr>
        <w:pStyle w:val="Brdtext"/>
      </w:pPr>
      <w:r w:rsidRPr="00591F3B">
        <w:t>För övriga tekniker välkomnas förslag på loggning av betydande tillstånd som kan ha inverkan på testresultatet.</w:t>
      </w:r>
    </w:p>
    <w:p w14:paraId="32A346BE" w14:textId="79512487" w:rsidR="00875271" w:rsidRDefault="00875271" w:rsidP="00875271">
      <w:pPr>
        <w:pStyle w:val="Rubrik2"/>
        <w:rPr>
          <w:rStyle w:val="Rubrik3Char"/>
          <w:sz w:val="28"/>
          <w:szCs w:val="26"/>
        </w:rPr>
      </w:pPr>
      <w:r>
        <w:t xml:space="preserve">3.3 Inför testet </w:t>
      </w:r>
      <w:r w:rsidRPr="00E0113A">
        <w:rPr>
          <w:rStyle w:val="Rubrik3Char"/>
          <w:sz w:val="28"/>
          <w:szCs w:val="26"/>
        </w:rPr>
        <w:t>Aktiv reglering</w:t>
      </w:r>
    </w:p>
    <w:p w14:paraId="38F3389E" w14:textId="5362C8C7" w:rsidR="00875271" w:rsidRPr="00875271" w:rsidRDefault="00875271" w:rsidP="00875271">
      <w:pPr>
        <w:pStyle w:val="Brdtext"/>
      </w:pPr>
      <w:r w:rsidRPr="00875271">
        <w:t>I testet för aktiv reglering skickar Svenska kraftnät en signal till leverantören att ändra börvärdet för hela reglerobjektet.</w:t>
      </w:r>
      <w:r>
        <w:t xml:space="preserve"> </w:t>
      </w:r>
    </w:p>
    <w:p w14:paraId="17AAD7FA" w14:textId="77777777" w:rsidR="00875271" w:rsidRPr="00456393" w:rsidRDefault="00875271" w:rsidP="00875271">
      <w:pPr>
        <w:pStyle w:val="Numreradlista"/>
        <w:numPr>
          <w:ilvl w:val="0"/>
          <w:numId w:val="0"/>
        </w:numPr>
        <w:ind w:left="360" w:hanging="360"/>
      </w:pPr>
      <w:r>
        <w:t xml:space="preserve">Inför test bör följande punkter kontrolleras. </w:t>
      </w:r>
    </w:p>
    <w:p w14:paraId="102C545C" w14:textId="77777777" w:rsidR="00875271" w:rsidRDefault="00875271" w:rsidP="00875271">
      <w:pPr>
        <w:pStyle w:val="Punktlista"/>
      </w:pPr>
      <w:r w:rsidRPr="00077E01">
        <w:t>Inställning av enhet eller grupp ska ske så att den tillhandahåller aktiv effekt enligt plan.</w:t>
      </w:r>
    </w:p>
    <w:p w14:paraId="0FAD0C4A" w14:textId="77777777" w:rsidR="00875271" w:rsidRPr="00077E01" w:rsidRDefault="00875271" w:rsidP="00875271">
      <w:pPr>
        <w:pStyle w:val="Punktlista"/>
      </w:pPr>
      <w:r>
        <w:t xml:space="preserve">Finns funktion för leverans av FCR hos enheten eller gruppen ska den ej vara aktiv under testet. </w:t>
      </w:r>
    </w:p>
    <w:p w14:paraId="7CBD3591" w14:textId="447E369C" w:rsidR="00875271" w:rsidRDefault="00875271" w:rsidP="00875271">
      <w:pPr>
        <w:pStyle w:val="Punktlista"/>
      </w:pPr>
      <w:r w:rsidRPr="00077E01">
        <w:t xml:space="preserve">Säkerställ att nedanstående data registreras </w:t>
      </w:r>
      <w:r>
        <w:t>och sparas under testet</w:t>
      </w:r>
    </w:p>
    <w:p w14:paraId="5BC22347" w14:textId="5F08CB8D" w:rsidR="00875271" w:rsidRDefault="00875271" w:rsidP="00875271">
      <w:pPr>
        <w:pStyle w:val="Punktlista"/>
      </w:pPr>
      <w:r>
        <w:t>Säkerställ att utrustning för loggning av data är korrekt tidssynkroniserad.</w:t>
      </w:r>
    </w:p>
    <w:p w14:paraId="657B90E7" w14:textId="3784FB94" w:rsidR="00875271" w:rsidRDefault="00875271" w:rsidP="00875271">
      <w:pPr>
        <w:pStyle w:val="Beskrivning"/>
        <w:keepNext/>
      </w:pPr>
      <w:bookmarkStart w:id="10" w:name="_Ref104794055"/>
      <w:r>
        <w:t xml:space="preserve">Tabell </w:t>
      </w:r>
      <w:r w:rsidR="003B076F">
        <w:fldChar w:fldCharType="begin"/>
      </w:r>
      <w:r w:rsidR="003B076F">
        <w:instrText xml:space="preserve"> SEQ Tabell \* ARABIC </w:instrText>
      </w:r>
      <w:r w:rsidR="003B076F">
        <w:fldChar w:fldCharType="separate"/>
      </w:r>
      <w:r>
        <w:rPr>
          <w:noProof/>
        </w:rPr>
        <w:t>6</w:t>
      </w:r>
      <w:r w:rsidR="003B076F">
        <w:rPr>
          <w:noProof/>
        </w:rPr>
        <w:fldChar w:fldCharType="end"/>
      </w:r>
      <w:bookmarkEnd w:id="10"/>
      <w:r>
        <w:t>:</w:t>
      </w:r>
      <w:r w:rsidR="00161E96">
        <w:t xml:space="preserve"> </w:t>
      </w:r>
      <w:r w:rsidRPr="00E81C58">
        <w:t>Sammanfattning av mätning och loggning under testet Aktiv reglering.</w:t>
      </w:r>
    </w:p>
    <w:tbl>
      <w:tblPr>
        <w:tblStyle w:val="SvKTabellformat"/>
        <w:tblW w:w="7311" w:type="dxa"/>
        <w:tblLook w:val="04A0" w:firstRow="1" w:lastRow="0" w:firstColumn="1" w:lastColumn="0" w:noHBand="0" w:noVBand="1"/>
      </w:tblPr>
      <w:tblGrid>
        <w:gridCol w:w="3342"/>
        <w:gridCol w:w="1276"/>
        <w:gridCol w:w="2693"/>
      </w:tblGrid>
      <w:tr w:rsidR="00875271" w:rsidRPr="00B858C7" w14:paraId="6CBFBE56" w14:textId="77777777" w:rsidTr="00875271">
        <w:trPr>
          <w:cnfStyle w:val="100000000000" w:firstRow="1" w:lastRow="0" w:firstColumn="0" w:lastColumn="0" w:oddVBand="0" w:evenVBand="0" w:oddHBand="0" w:evenHBand="0" w:firstRowFirstColumn="0" w:firstRowLastColumn="0" w:lastRowFirstColumn="0" w:lastRowLastColumn="0"/>
        </w:trPr>
        <w:tc>
          <w:tcPr>
            <w:tcW w:w="3342" w:type="dxa"/>
          </w:tcPr>
          <w:p w14:paraId="3AFF857A" w14:textId="77777777" w:rsidR="00875271" w:rsidRPr="00B858C7" w:rsidRDefault="00875271" w:rsidP="00875271">
            <w:pPr>
              <w:pStyle w:val="Tabelltext"/>
              <w:rPr>
                <w:sz w:val="20"/>
                <w:szCs w:val="20"/>
              </w:rPr>
            </w:pPr>
          </w:p>
        </w:tc>
        <w:tc>
          <w:tcPr>
            <w:tcW w:w="1276" w:type="dxa"/>
          </w:tcPr>
          <w:p w14:paraId="77B068BE" w14:textId="77777777" w:rsidR="00875271" w:rsidRPr="00B858C7" w:rsidRDefault="00875271" w:rsidP="00875271">
            <w:pPr>
              <w:pStyle w:val="Tabelltext"/>
              <w:jc w:val="right"/>
              <w:rPr>
                <w:b/>
                <w:sz w:val="20"/>
                <w:szCs w:val="20"/>
              </w:rPr>
            </w:pPr>
            <w:r>
              <w:rPr>
                <w:sz w:val="20"/>
                <w:szCs w:val="20"/>
              </w:rPr>
              <w:t>Enhet</w:t>
            </w:r>
          </w:p>
        </w:tc>
        <w:tc>
          <w:tcPr>
            <w:tcW w:w="2693" w:type="dxa"/>
          </w:tcPr>
          <w:p w14:paraId="45AF2F8B" w14:textId="77777777" w:rsidR="00875271" w:rsidRPr="00B858C7" w:rsidRDefault="00875271" w:rsidP="00875271">
            <w:pPr>
              <w:pStyle w:val="Tabelltext"/>
              <w:ind w:left="-339" w:firstLine="339"/>
              <w:jc w:val="right"/>
              <w:rPr>
                <w:b/>
                <w:sz w:val="20"/>
                <w:szCs w:val="20"/>
              </w:rPr>
            </w:pPr>
            <w:r>
              <w:rPr>
                <w:sz w:val="20"/>
                <w:szCs w:val="20"/>
              </w:rPr>
              <w:t>Rekommenderad samplingstid</w:t>
            </w:r>
            <w:r>
              <w:rPr>
                <w:rStyle w:val="Fotnotsreferens"/>
                <w:sz w:val="20"/>
                <w:szCs w:val="20"/>
              </w:rPr>
              <w:footnoteReference w:id="5"/>
            </w:r>
          </w:p>
        </w:tc>
      </w:tr>
      <w:tr w:rsidR="00875271" w:rsidRPr="00B858C7" w14:paraId="48D5ED14" w14:textId="77777777" w:rsidTr="00875271">
        <w:tc>
          <w:tcPr>
            <w:tcW w:w="3342" w:type="dxa"/>
          </w:tcPr>
          <w:p w14:paraId="12F5D717" w14:textId="77777777" w:rsidR="00875271" w:rsidRPr="00CC17EF" w:rsidRDefault="00875271" w:rsidP="00875271">
            <w:pPr>
              <w:pStyle w:val="Tabelltext"/>
              <w:rPr>
                <w:sz w:val="20"/>
                <w:szCs w:val="20"/>
              </w:rPr>
            </w:pPr>
            <w:r w:rsidRPr="00CC17EF">
              <w:rPr>
                <w:sz w:val="20"/>
                <w:szCs w:val="20"/>
              </w:rPr>
              <w:t>Momentan aktiv effekt</w:t>
            </w:r>
            <w:r>
              <w:rPr>
                <w:sz w:val="20"/>
                <w:szCs w:val="20"/>
              </w:rPr>
              <w:t xml:space="preserve"> för samtliga resurser i reglerobjektet</w:t>
            </w:r>
          </w:p>
        </w:tc>
        <w:tc>
          <w:tcPr>
            <w:tcW w:w="1276" w:type="dxa"/>
          </w:tcPr>
          <w:p w14:paraId="7C494BEB" w14:textId="77777777" w:rsidR="00875271" w:rsidRPr="00B858C7" w:rsidRDefault="00875271" w:rsidP="00875271">
            <w:pPr>
              <w:pStyle w:val="Tabelltext"/>
              <w:jc w:val="right"/>
              <w:rPr>
                <w:sz w:val="20"/>
                <w:szCs w:val="20"/>
              </w:rPr>
            </w:pPr>
            <w:r>
              <w:rPr>
                <w:sz w:val="20"/>
                <w:szCs w:val="20"/>
              </w:rPr>
              <w:t>MW</w:t>
            </w:r>
          </w:p>
        </w:tc>
        <w:tc>
          <w:tcPr>
            <w:tcW w:w="2693" w:type="dxa"/>
          </w:tcPr>
          <w:p w14:paraId="22F269EA" w14:textId="77777777" w:rsidR="00875271" w:rsidRPr="00B858C7" w:rsidRDefault="00875271" w:rsidP="00875271">
            <w:pPr>
              <w:pStyle w:val="Tabelltext"/>
              <w:jc w:val="right"/>
              <w:rPr>
                <w:sz w:val="20"/>
                <w:szCs w:val="20"/>
              </w:rPr>
            </w:pPr>
            <w:r>
              <w:rPr>
                <w:sz w:val="20"/>
                <w:szCs w:val="20"/>
              </w:rPr>
              <w:t>1 s</w:t>
            </w:r>
          </w:p>
        </w:tc>
      </w:tr>
      <w:tr w:rsidR="00875271" w:rsidRPr="00B858C7" w14:paraId="739132A4" w14:textId="77777777" w:rsidTr="00875271">
        <w:tc>
          <w:tcPr>
            <w:tcW w:w="3342" w:type="dxa"/>
          </w:tcPr>
          <w:p w14:paraId="51F50583" w14:textId="77777777" w:rsidR="00875271" w:rsidRPr="00CC17EF" w:rsidRDefault="00875271" w:rsidP="00875271">
            <w:pPr>
              <w:pStyle w:val="Tabelltext"/>
              <w:rPr>
                <w:sz w:val="20"/>
                <w:szCs w:val="20"/>
              </w:rPr>
            </w:pPr>
            <w:r>
              <w:rPr>
                <w:sz w:val="20"/>
                <w:szCs w:val="20"/>
              </w:rPr>
              <w:lastRenderedPageBreak/>
              <w:t>aFRR Activated</w:t>
            </w:r>
          </w:p>
        </w:tc>
        <w:tc>
          <w:tcPr>
            <w:tcW w:w="1276" w:type="dxa"/>
          </w:tcPr>
          <w:p w14:paraId="3FE145FC" w14:textId="77777777" w:rsidR="00875271" w:rsidRDefault="00875271" w:rsidP="00875271">
            <w:pPr>
              <w:pStyle w:val="Tabelltext"/>
              <w:jc w:val="right"/>
              <w:rPr>
                <w:sz w:val="20"/>
                <w:szCs w:val="20"/>
              </w:rPr>
            </w:pPr>
            <w:r>
              <w:rPr>
                <w:sz w:val="20"/>
                <w:szCs w:val="20"/>
              </w:rPr>
              <w:t>MW</w:t>
            </w:r>
          </w:p>
        </w:tc>
        <w:tc>
          <w:tcPr>
            <w:tcW w:w="2693" w:type="dxa"/>
          </w:tcPr>
          <w:p w14:paraId="4046B4C1" w14:textId="77777777" w:rsidR="00875271" w:rsidRDefault="00875271" w:rsidP="00875271">
            <w:pPr>
              <w:pStyle w:val="Tabelltext"/>
              <w:jc w:val="right"/>
              <w:rPr>
                <w:sz w:val="20"/>
                <w:szCs w:val="20"/>
              </w:rPr>
            </w:pPr>
            <w:r>
              <w:rPr>
                <w:sz w:val="20"/>
                <w:szCs w:val="20"/>
              </w:rPr>
              <w:t>1 s</w:t>
            </w:r>
          </w:p>
        </w:tc>
      </w:tr>
      <w:tr w:rsidR="00875271" w14:paraId="57A7257C" w14:textId="77777777" w:rsidTr="00875271">
        <w:tc>
          <w:tcPr>
            <w:tcW w:w="3342" w:type="dxa"/>
          </w:tcPr>
          <w:p w14:paraId="2450B850" w14:textId="77777777" w:rsidR="00875271" w:rsidRPr="00CC17EF" w:rsidRDefault="00875271" w:rsidP="00875271">
            <w:pPr>
              <w:pStyle w:val="Tabelltext"/>
              <w:rPr>
                <w:sz w:val="20"/>
                <w:szCs w:val="20"/>
              </w:rPr>
            </w:pPr>
            <w:r>
              <w:rPr>
                <w:sz w:val="20"/>
                <w:szCs w:val="20"/>
              </w:rPr>
              <w:t>Aktuellt mottaget börvärde</w:t>
            </w:r>
          </w:p>
        </w:tc>
        <w:tc>
          <w:tcPr>
            <w:tcW w:w="1276" w:type="dxa"/>
          </w:tcPr>
          <w:p w14:paraId="47BB9CEB" w14:textId="77777777" w:rsidR="00875271" w:rsidRDefault="00875271" w:rsidP="00875271">
            <w:pPr>
              <w:pStyle w:val="Tabelltext"/>
              <w:jc w:val="right"/>
              <w:rPr>
                <w:sz w:val="20"/>
                <w:szCs w:val="20"/>
              </w:rPr>
            </w:pPr>
            <w:r>
              <w:rPr>
                <w:sz w:val="20"/>
                <w:szCs w:val="20"/>
              </w:rPr>
              <w:t>MW</w:t>
            </w:r>
          </w:p>
        </w:tc>
        <w:tc>
          <w:tcPr>
            <w:tcW w:w="2693" w:type="dxa"/>
          </w:tcPr>
          <w:p w14:paraId="037FC4A2" w14:textId="77777777" w:rsidR="00875271" w:rsidRDefault="00875271" w:rsidP="00875271">
            <w:pPr>
              <w:pStyle w:val="Tabelltext"/>
              <w:jc w:val="right"/>
              <w:rPr>
                <w:sz w:val="20"/>
                <w:szCs w:val="20"/>
              </w:rPr>
            </w:pPr>
            <w:r>
              <w:rPr>
                <w:sz w:val="20"/>
                <w:szCs w:val="20"/>
              </w:rPr>
              <w:t>1 s</w:t>
            </w:r>
          </w:p>
        </w:tc>
      </w:tr>
      <w:tr w:rsidR="00875271" w14:paraId="39D1A7E3" w14:textId="77777777" w:rsidTr="00875271">
        <w:tc>
          <w:tcPr>
            <w:tcW w:w="3342" w:type="dxa"/>
          </w:tcPr>
          <w:p w14:paraId="4255ED73" w14:textId="77777777" w:rsidR="00875271" w:rsidRDefault="00875271" w:rsidP="00875271">
            <w:pPr>
              <w:pStyle w:val="Tabelltext"/>
              <w:rPr>
                <w:sz w:val="20"/>
                <w:szCs w:val="20"/>
              </w:rPr>
            </w:pPr>
            <w:r>
              <w:rPr>
                <w:sz w:val="20"/>
                <w:szCs w:val="20"/>
              </w:rPr>
              <w:t>Aktuellt mottaget börvärde för samtliga resurser i reglerobjektet</w:t>
            </w:r>
          </w:p>
        </w:tc>
        <w:tc>
          <w:tcPr>
            <w:tcW w:w="1276" w:type="dxa"/>
          </w:tcPr>
          <w:p w14:paraId="758321BA" w14:textId="77777777" w:rsidR="00875271" w:rsidRDefault="00875271" w:rsidP="00875271">
            <w:pPr>
              <w:pStyle w:val="Tabelltext"/>
              <w:jc w:val="right"/>
              <w:rPr>
                <w:sz w:val="20"/>
                <w:szCs w:val="20"/>
              </w:rPr>
            </w:pPr>
            <w:r>
              <w:rPr>
                <w:sz w:val="20"/>
                <w:szCs w:val="20"/>
              </w:rPr>
              <w:t>MW</w:t>
            </w:r>
          </w:p>
        </w:tc>
        <w:tc>
          <w:tcPr>
            <w:tcW w:w="2693" w:type="dxa"/>
          </w:tcPr>
          <w:p w14:paraId="42B1CB51" w14:textId="77777777" w:rsidR="00875271" w:rsidRDefault="00875271" w:rsidP="00875271">
            <w:pPr>
              <w:pStyle w:val="Tabelltext"/>
              <w:jc w:val="right"/>
              <w:rPr>
                <w:sz w:val="20"/>
                <w:szCs w:val="20"/>
              </w:rPr>
            </w:pPr>
            <w:r>
              <w:rPr>
                <w:sz w:val="20"/>
                <w:szCs w:val="20"/>
              </w:rPr>
              <w:t>1 s</w:t>
            </w:r>
          </w:p>
        </w:tc>
      </w:tr>
    </w:tbl>
    <w:p w14:paraId="5276D74F" w14:textId="49737C01" w:rsidR="00591F3B" w:rsidRDefault="00591F3B">
      <w:pPr>
        <w:spacing w:after="160" w:line="2" w:lineRule="auto"/>
        <w:rPr>
          <w:sz w:val="20"/>
        </w:rPr>
      </w:pPr>
    </w:p>
    <w:p w14:paraId="05BFA8BB" w14:textId="0FFD6E66" w:rsidR="00102292" w:rsidRDefault="00102292" w:rsidP="005E09D9">
      <w:pPr>
        <w:pStyle w:val="Rubrik1"/>
        <w:numPr>
          <w:ilvl w:val="0"/>
          <w:numId w:val="15"/>
        </w:numPr>
      </w:pPr>
      <w:r>
        <w:t>Förkvalificeringstest</w:t>
      </w:r>
    </w:p>
    <w:p w14:paraId="041A1359" w14:textId="386890CC" w:rsidR="00183D1D" w:rsidRDefault="005E09D9" w:rsidP="00A74E82">
      <w:pPr>
        <w:pStyle w:val="Rubrik2"/>
      </w:pPr>
      <w:r>
        <w:t>4</w:t>
      </w:r>
      <w:r w:rsidR="0001296B">
        <w:t>.1</w:t>
      </w:r>
      <w:r w:rsidR="00720096">
        <w:t xml:space="preserve"> </w:t>
      </w:r>
      <w:r w:rsidR="00CB7023" w:rsidRPr="00A74E82">
        <w:t>Signaltest</w:t>
      </w:r>
    </w:p>
    <w:p w14:paraId="7FA8E39F" w14:textId="7915C6EE" w:rsidR="0046605F" w:rsidRDefault="00AD2157" w:rsidP="00183D1D">
      <w:pPr>
        <w:pStyle w:val="Brdtext"/>
      </w:pPr>
      <w:r>
        <w:t xml:space="preserve">Signaltestet utförs </w:t>
      </w:r>
      <w:r w:rsidR="00B90644">
        <w:t xml:space="preserve">på distans </w:t>
      </w:r>
      <w:r>
        <w:t>tillsammans med Svenska kraftnät</w:t>
      </w:r>
      <w:r w:rsidR="00591F3B">
        <w:t>.</w:t>
      </w:r>
      <w:r w:rsidR="0046605F">
        <w:t xml:space="preserve"> </w:t>
      </w:r>
      <w:r w:rsidR="0046605F" w:rsidRPr="006C4BFE">
        <w:t xml:space="preserve">Leverantören behöver inte fylla i något testprotokoll för signaltestet. </w:t>
      </w:r>
      <w:r w:rsidR="0046605F" w:rsidRPr="0022555D">
        <w:t xml:space="preserve">Utvärderingen sker under testets gång och efter avslutat test meddelar Svenska kraftnät </w:t>
      </w:r>
      <w:r w:rsidR="00591F3B" w:rsidRPr="0022555D">
        <w:t>huruvida</w:t>
      </w:r>
      <w:r w:rsidR="0046605F" w:rsidRPr="0022555D">
        <w:t xml:space="preserve"> enheten eller g</w:t>
      </w:r>
      <w:r w:rsidR="00591F3B" w:rsidRPr="0022555D">
        <w:t xml:space="preserve">ruppen </w:t>
      </w:r>
      <w:r w:rsidR="00B90644" w:rsidRPr="0022555D">
        <w:t xml:space="preserve">är </w:t>
      </w:r>
      <w:r w:rsidR="00591F3B" w:rsidRPr="0022555D">
        <w:t>godkänd</w:t>
      </w:r>
      <w:r w:rsidR="0046605F" w:rsidRPr="0022555D">
        <w:t>.</w:t>
      </w:r>
    </w:p>
    <w:p w14:paraId="17A89B08" w14:textId="3FD81F77" w:rsidR="003A704D" w:rsidRDefault="001B7361" w:rsidP="00183D1D">
      <w:pPr>
        <w:pStyle w:val="Brdtext"/>
      </w:pPr>
      <w:r>
        <w:t xml:space="preserve">Syftet med signaltestet är att </w:t>
      </w:r>
      <w:r w:rsidR="00B46864">
        <w:t xml:space="preserve">verifiera </w:t>
      </w:r>
      <w:r>
        <w:t>att d</w:t>
      </w:r>
      <w:r w:rsidR="00AD2157">
        <w:t>e signaler som används vid aktivering av aFRR</w:t>
      </w:r>
      <w:r>
        <w:t xml:space="preserve"> är korrekt konfigurerade. Detta görs genom att respektive signal</w:t>
      </w:r>
      <w:r w:rsidR="00AD2157">
        <w:t xml:space="preserve"> uppdateras manuellt, en i taget, varpå mottagande part (i del 1 är det leverantören </w:t>
      </w:r>
      <w:r w:rsidR="001D1B66">
        <w:t xml:space="preserve">av aFRR </w:t>
      </w:r>
      <w:r w:rsidR="00AD2157">
        <w:t>och i del 2 är det TSO) verifiera</w:t>
      </w:r>
      <w:r w:rsidR="00310535">
        <w:t xml:space="preserve">r att ändringen mottagits i </w:t>
      </w:r>
      <w:r w:rsidR="00310535" w:rsidRPr="00807118">
        <w:t>driftinformationssystemet</w:t>
      </w:r>
      <w:r w:rsidR="00310535">
        <w:t>.</w:t>
      </w:r>
    </w:p>
    <w:p w14:paraId="410A6F73" w14:textId="4AF27B43" w:rsidR="00303FBA" w:rsidRDefault="002C564B" w:rsidP="00303FBA">
      <w:pPr>
        <w:pStyle w:val="Brdtext"/>
      </w:pPr>
      <w:r>
        <w:t xml:space="preserve">I samband med signaltestet fastställs även enheten eller gruppens reaktionstid. </w:t>
      </w:r>
      <w:r w:rsidR="00303FBA">
        <w:t xml:space="preserve">Det finns </w:t>
      </w:r>
      <w:r w:rsidR="00EB3533">
        <w:t xml:space="preserve">två </w:t>
      </w:r>
      <w:r w:rsidR="00303FBA">
        <w:t xml:space="preserve">möjliga sätt för </w:t>
      </w:r>
      <w:r>
        <w:t>leverantören</w:t>
      </w:r>
      <w:r w:rsidR="00303FBA">
        <w:t xml:space="preserve"> att bestämma reaktionstiden:</w:t>
      </w:r>
    </w:p>
    <w:p w14:paraId="486275F4" w14:textId="186D3675" w:rsidR="00303FBA" w:rsidRDefault="00303FBA" w:rsidP="00303FBA">
      <w:pPr>
        <w:pStyle w:val="Brdtext"/>
        <w:numPr>
          <w:ilvl w:val="0"/>
          <w:numId w:val="33"/>
        </w:numPr>
      </w:pPr>
      <w:r>
        <w:t xml:space="preserve">Genom att mäta reaktionstiden i testet för aktiv reglering (se </w:t>
      </w:r>
      <w:r w:rsidR="002C564B">
        <w:t>4.1.4</w:t>
      </w:r>
      <w:r>
        <w:t>)</w:t>
      </w:r>
    </w:p>
    <w:p w14:paraId="0453F00E" w14:textId="6B2EF8B3" w:rsidR="00303FBA" w:rsidRDefault="00303FBA" w:rsidP="00303FBA">
      <w:pPr>
        <w:pStyle w:val="Brdtext"/>
        <w:numPr>
          <w:ilvl w:val="0"/>
          <w:numId w:val="33"/>
        </w:numPr>
      </w:pPr>
      <w:r>
        <w:t xml:space="preserve">Genom att använda ett av aktören bestämt schablonvärde. </w:t>
      </w:r>
      <w:r w:rsidR="007A0D0A">
        <w:t>D</w:t>
      </w:r>
      <w:r w:rsidR="00B77ACD">
        <w:t xml:space="preserve">etta kräver dokumentation </w:t>
      </w:r>
      <w:r w:rsidR="003F7C66">
        <w:t>som styrker värdet.</w:t>
      </w:r>
    </w:p>
    <w:p w14:paraId="156BE86D" w14:textId="5F35FE1C" w:rsidR="00AD2157" w:rsidRDefault="005E09D9" w:rsidP="00A74E82">
      <w:pPr>
        <w:pStyle w:val="Rubrik3"/>
      </w:pPr>
      <w:r>
        <w:t>4</w:t>
      </w:r>
      <w:r w:rsidR="0001296B">
        <w:t>.1.1</w:t>
      </w:r>
      <w:r w:rsidR="001E5129">
        <w:t xml:space="preserve"> </w:t>
      </w:r>
      <w:r w:rsidR="0076077C">
        <w:t>Signaler från TSO till leverantör</w:t>
      </w:r>
      <w:r w:rsidR="001D1B66">
        <w:t xml:space="preserve"> av aFRR</w:t>
      </w:r>
    </w:p>
    <w:p w14:paraId="6A8740E2" w14:textId="760CA887" w:rsidR="0076077C" w:rsidRDefault="0076077C" w:rsidP="00A74E82">
      <w:pPr>
        <w:pStyle w:val="Brdtext"/>
      </w:pPr>
      <w:r>
        <w:t xml:space="preserve">Svenska kraftnät ändrar </w:t>
      </w:r>
      <w:r w:rsidR="002C0701">
        <w:t>signalerna</w:t>
      </w:r>
      <w:r>
        <w:t xml:space="preserve"> enligt</w:t>
      </w:r>
      <w:r w:rsidR="009668B2">
        <w:t xml:space="preserve"> </w:t>
      </w:r>
      <w:r w:rsidR="00B760C0">
        <w:t>Tabell 7</w:t>
      </w:r>
      <w:r>
        <w:t xml:space="preserve">. Efter varje förändring </w:t>
      </w:r>
      <w:r w:rsidR="001D1B66">
        <w:t>av</w:t>
      </w:r>
      <w:r>
        <w:t xml:space="preserve"> en signal ska leverantören</w:t>
      </w:r>
      <w:r w:rsidR="001D1B66">
        <w:t xml:space="preserve"> </w:t>
      </w:r>
      <w:r>
        <w:t xml:space="preserve">läsa upp mottagen signal innan Svenska kraftnät uppdaterar </w:t>
      </w:r>
      <w:r w:rsidR="003C2B95">
        <w:t>signalen</w:t>
      </w:r>
      <w:r>
        <w:t xml:space="preserve"> igen.</w:t>
      </w:r>
    </w:p>
    <w:p w14:paraId="488F60EE" w14:textId="5491D727" w:rsidR="001E5129" w:rsidRDefault="00A35E92" w:rsidP="005B1CE3">
      <w:pPr>
        <w:pStyle w:val="Brdtext"/>
      </w:pPr>
      <w:r>
        <w:t xml:space="preserve">Om ansökan endast </w:t>
      </w:r>
      <w:r w:rsidR="001D1B66">
        <w:t>avser</w:t>
      </w:r>
      <w:r>
        <w:t xml:space="preserve"> leverans av aFRR för uppreglering</w:t>
      </w:r>
      <w:r w:rsidR="002C0701">
        <w:t xml:space="preserve"> eller aFRR för nedreglering kan en förkortad version av sekvensen köras</w:t>
      </w:r>
      <w:r w:rsidR="001D1B66">
        <w:t xml:space="preserve"> vid test av signal </w:t>
      </w:r>
      <w:r w:rsidR="006C378C" w:rsidRPr="004674A7">
        <w:rPr>
          <w:i/>
        </w:rPr>
        <w:t>aFRR Setpoint</w:t>
      </w:r>
      <w:r w:rsidR="002C0701">
        <w:t>, se</w:t>
      </w:r>
      <w:r w:rsidR="00A8669A">
        <w:t xml:space="preserve"> </w:t>
      </w:r>
      <w:r w:rsidR="00A8669A">
        <w:fldChar w:fldCharType="begin"/>
      </w:r>
      <w:r w:rsidR="00A8669A">
        <w:instrText xml:space="preserve"> REF _Ref68161919 \h </w:instrText>
      </w:r>
      <w:r w:rsidR="00A8669A">
        <w:fldChar w:fldCharType="separate"/>
      </w:r>
      <w:r w:rsidR="00875271">
        <w:t xml:space="preserve">Tabell </w:t>
      </w:r>
      <w:r w:rsidR="00875271">
        <w:rPr>
          <w:noProof/>
        </w:rPr>
        <w:t>7</w:t>
      </w:r>
      <w:r w:rsidR="00A8669A">
        <w:fldChar w:fldCharType="end"/>
      </w:r>
      <w:r w:rsidR="002C0701">
        <w:t>.</w:t>
      </w:r>
    </w:p>
    <w:p w14:paraId="35D62CF1" w14:textId="6B263C27" w:rsidR="00207239" w:rsidRDefault="00207239" w:rsidP="005B1CE3">
      <w:pPr>
        <w:pStyle w:val="Brdtext"/>
      </w:pPr>
      <w:r>
        <w:t>Denna del av signaltestet kräver ej att leverantören registrerar och sparar data.</w:t>
      </w:r>
    </w:p>
    <w:p w14:paraId="401B058A" w14:textId="46D8CF81" w:rsidR="00A8669A" w:rsidRDefault="00A8669A" w:rsidP="005B1CE3">
      <w:pPr>
        <w:pStyle w:val="Beskrivning"/>
        <w:keepNext/>
      </w:pPr>
      <w:bookmarkStart w:id="11" w:name="_Ref68161919"/>
      <w:r>
        <w:t xml:space="preserve">Tabell </w:t>
      </w:r>
      <w:r w:rsidR="003B076F">
        <w:fldChar w:fldCharType="begin"/>
      </w:r>
      <w:r w:rsidR="003B076F">
        <w:instrText xml:space="preserve"> SEQ Tabell \* ARABIC </w:instrText>
      </w:r>
      <w:r w:rsidR="003B076F">
        <w:fldChar w:fldCharType="separate"/>
      </w:r>
      <w:r w:rsidR="00875271">
        <w:rPr>
          <w:noProof/>
        </w:rPr>
        <w:t>7</w:t>
      </w:r>
      <w:r w:rsidR="003B076F">
        <w:rPr>
          <w:noProof/>
        </w:rPr>
        <w:fldChar w:fldCharType="end"/>
      </w:r>
      <w:bookmarkEnd w:id="11"/>
      <w:r>
        <w:t>. Beskrivning av hur signaltestet ska utföras vid test av signaler från TSO till leverantör.</w:t>
      </w:r>
    </w:p>
    <w:tbl>
      <w:tblPr>
        <w:tblStyle w:val="Tabellrutnt"/>
        <w:tblW w:w="7792" w:type="dxa"/>
        <w:tblLook w:val="04A0" w:firstRow="1" w:lastRow="0" w:firstColumn="1" w:lastColumn="0" w:noHBand="0" w:noVBand="1"/>
      </w:tblPr>
      <w:tblGrid>
        <w:gridCol w:w="2122"/>
        <w:gridCol w:w="3118"/>
        <w:gridCol w:w="2552"/>
      </w:tblGrid>
      <w:tr w:rsidR="00A35E92" w14:paraId="023A1677" w14:textId="77777777" w:rsidTr="004674A7">
        <w:tc>
          <w:tcPr>
            <w:tcW w:w="2122" w:type="dxa"/>
            <w:shd w:val="clear" w:color="auto" w:fill="D9D9D9" w:themeFill="background1" w:themeFillShade="D9"/>
          </w:tcPr>
          <w:p w14:paraId="726954A2" w14:textId="207EC0A1" w:rsidR="00A35E92" w:rsidRPr="004674A7" w:rsidRDefault="00A35E92" w:rsidP="00A74E82">
            <w:pPr>
              <w:pStyle w:val="Brdtext"/>
              <w:rPr>
                <w:b/>
              </w:rPr>
            </w:pPr>
            <w:r w:rsidRPr="004674A7">
              <w:rPr>
                <w:b/>
              </w:rPr>
              <w:t>Signal</w:t>
            </w:r>
          </w:p>
        </w:tc>
        <w:tc>
          <w:tcPr>
            <w:tcW w:w="3118" w:type="dxa"/>
            <w:shd w:val="clear" w:color="auto" w:fill="D9D9D9" w:themeFill="background1" w:themeFillShade="D9"/>
          </w:tcPr>
          <w:p w14:paraId="4DE0C2D0" w14:textId="5A2C8CD0" w:rsidR="00A35E92" w:rsidRPr="004674A7" w:rsidRDefault="00A35E92" w:rsidP="00A74E82">
            <w:pPr>
              <w:pStyle w:val="Brdtext"/>
              <w:rPr>
                <w:b/>
              </w:rPr>
            </w:pPr>
            <w:r w:rsidRPr="004674A7">
              <w:rPr>
                <w:b/>
              </w:rPr>
              <w:t>Sekvens</w:t>
            </w:r>
          </w:p>
        </w:tc>
        <w:tc>
          <w:tcPr>
            <w:tcW w:w="2552" w:type="dxa"/>
            <w:shd w:val="clear" w:color="auto" w:fill="D9D9D9" w:themeFill="background1" w:themeFillShade="D9"/>
          </w:tcPr>
          <w:p w14:paraId="429E780F" w14:textId="1C5B2473" w:rsidR="00A35E92" w:rsidRPr="004674A7" w:rsidRDefault="00A35E92" w:rsidP="00AD2157">
            <w:pPr>
              <w:pStyle w:val="Brdtext"/>
              <w:rPr>
                <w:b/>
              </w:rPr>
            </w:pPr>
            <w:r w:rsidRPr="004674A7">
              <w:rPr>
                <w:b/>
              </w:rPr>
              <w:t>Verifiering</w:t>
            </w:r>
          </w:p>
        </w:tc>
      </w:tr>
      <w:tr w:rsidR="00A35E92" w14:paraId="616966AC" w14:textId="77777777" w:rsidTr="00A74E82">
        <w:tc>
          <w:tcPr>
            <w:tcW w:w="2122" w:type="dxa"/>
          </w:tcPr>
          <w:p w14:paraId="097C7CBF" w14:textId="720E908B" w:rsidR="00A35E92" w:rsidRDefault="00D94DC1" w:rsidP="00AD2157">
            <w:pPr>
              <w:pStyle w:val="Brdtext"/>
            </w:pPr>
            <w:r>
              <w:lastRenderedPageBreak/>
              <w:t xml:space="preserve">aFRR Setpoint </w:t>
            </w:r>
          </w:p>
        </w:tc>
        <w:tc>
          <w:tcPr>
            <w:tcW w:w="3118" w:type="dxa"/>
          </w:tcPr>
          <w:p w14:paraId="352D7FEE" w14:textId="4CFD2EBA" w:rsidR="002C0701" w:rsidRDefault="002C0701" w:rsidP="00AD2157">
            <w:pPr>
              <w:pStyle w:val="Brdtext"/>
            </w:pPr>
            <w:r>
              <w:t>Ändra börvärdet</w:t>
            </w:r>
            <w:r w:rsidR="00591F3B">
              <w:rPr>
                <w:rStyle w:val="Fotnotsreferens"/>
              </w:rPr>
              <w:footnoteReference w:id="6"/>
            </w:r>
            <w:r>
              <w:t>:</w:t>
            </w:r>
            <w:r w:rsidR="001B7361">
              <w:br/>
            </w:r>
            <w:r>
              <w:t>0; 1; 2; max; min; -2, -1, 0</w:t>
            </w:r>
          </w:p>
          <w:p w14:paraId="08340C60" w14:textId="47588167" w:rsidR="002C0701" w:rsidRDefault="002C0701" w:rsidP="00AD2157">
            <w:pPr>
              <w:pStyle w:val="Brdtext"/>
            </w:pPr>
            <w:r>
              <w:t>Förkortad version uppreglering:</w:t>
            </w:r>
            <w:r w:rsidR="001B7361">
              <w:br/>
            </w:r>
            <w:r>
              <w:t>0; 1; 2;</w:t>
            </w:r>
            <w:r w:rsidR="00D21309">
              <w:t xml:space="preserve"> </w:t>
            </w:r>
            <w:r>
              <w:t>max</w:t>
            </w:r>
            <w:r w:rsidR="00D21309">
              <w:t>; 0</w:t>
            </w:r>
          </w:p>
          <w:p w14:paraId="07CA50A2" w14:textId="0CC94BD2" w:rsidR="002C0701" w:rsidRDefault="002C0701" w:rsidP="001B7361">
            <w:pPr>
              <w:pStyle w:val="Brdtext"/>
            </w:pPr>
            <w:r>
              <w:t>Förkortad version nedreglering:</w:t>
            </w:r>
            <w:r w:rsidR="001B7361">
              <w:br/>
            </w:r>
            <w:r w:rsidR="00D21309">
              <w:t>0; -1; -2;</w:t>
            </w:r>
            <w:r>
              <w:t xml:space="preserve"> min</w:t>
            </w:r>
            <w:r w:rsidR="00D21309">
              <w:t>; 0</w:t>
            </w:r>
          </w:p>
        </w:tc>
        <w:tc>
          <w:tcPr>
            <w:tcW w:w="2552" w:type="dxa"/>
          </w:tcPr>
          <w:p w14:paraId="77840585" w14:textId="2CDAE52A" w:rsidR="00A35E92" w:rsidRDefault="002C0701" w:rsidP="00AD2157">
            <w:pPr>
              <w:pStyle w:val="Brdtext"/>
            </w:pPr>
            <w:r>
              <w:t>Leverantören läser av mottaget värde och meddelar det till TSO</w:t>
            </w:r>
          </w:p>
        </w:tc>
      </w:tr>
      <w:tr w:rsidR="00A35E92" w14:paraId="391ACCDF" w14:textId="77777777" w:rsidTr="00A74E82">
        <w:tc>
          <w:tcPr>
            <w:tcW w:w="2122" w:type="dxa"/>
          </w:tcPr>
          <w:p w14:paraId="2394B418" w14:textId="33CC25AC" w:rsidR="00A35E92" w:rsidRDefault="00D94DC1" w:rsidP="00780A65">
            <w:pPr>
              <w:pStyle w:val="Brdtext"/>
            </w:pPr>
            <w:r>
              <w:t xml:space="preserve">aFRR Enabled </w:t>
            </w:r>
          </w:p>
        </w:tc>
        <w:tc>
          <w:tcPr>
            <w:tcW w:w="3118" w:type="dxa"/>
          </w:tcPr>
          <w:p w14:paraId="4BC88D95" w14:textId="77777777" w:rsidR="00A35E92" w:rsidRDefault="00A35E92" w:rsidP="00AD2157">
            <w:pPr>
              <w:pStyle w:val="Brdtext"/>
            </w:pPr>
            <w:r>
              <w:t>Sätt signalen till ON</w:t>
            </w:r>
          </w:p>
          <w:p w14:paraId="1ACDCDDE" w14:textId="1ACC2D12" w:rsidR="00A35E92" w:rsidRDefault="00A35E92" w:rsidP="00AD2157">
            <w:pPr>
              <w:pStyle w:val="Brdtext"/>
            </w:pPr>
            <w:r>
              <w:t>Sätt signalen till OFF</w:t>
            </w:r>
          </w:p>
        </w:tc>
        <w:tc>
          <w:tcPr>
            <w:tcW w:w="2552" w:type="dxa"/>
          </w:tcPr>
          <w:p w14:paraId="645F8C9F" w14:textId="6817B79B" w:rsidR="00A35E92" w:rsidRDefault="00A35E92" w:rsidP="00780A65">
            <w:pPr>
              <w:pStyle w:val="Brdtext"/>
            </w:pPr>
            <w:r>
              <w:t>Leverantören läser av mottaget värde och meddelar det till TSO</w:t>
            </w:r>
          </w:p>
        </w:tc>
      </w:tr>
    </w:tbl>
    <w:p w14:paraId="04A59AD2" w14:textId="77777777" w:rsidR="00AD2157" w:rsidRPr="00780A65" w:rsidRDefault="00AD2157" w:rsidP="00780A65">
      <w:pPr>
        <w:pStyle w:val="Brdtext"/>
      </w:pPr>
    </w:p>
    <w:p w14:paraId="3F4EE68B" w14:textId="4D26ADCD" w:rsidR="002C0701" w:rsidRDefault="005E09D9" w:rsidP="002C0701">
      <w:pPr>
        <w:pStyle w:val="Rubrik3"/>
      </w:pPr>
      <w:r>
        <w:t>4</w:t>
      </w:r>
      <w:r w:rsidR="002C0701">
        <w:t>.1.2 Signaler från leverantör</w:t>
      </w:r>
      <w:r w:rsidR="001D1B66">
        <w:t xml:space="preserve"> av aFRR till TSO</w:t>
      </w:r>
    </w:p>
    <w:p w14:paraId="50EF427B" w14:textId="4F40EBAE" w:rsidR="002C0701" w:rsidRDefault="001D1B66" w:rsidP="002C0701">
      <w:pPr>
        <w:pStyle w:val="Brdtext"/>
      </w:pPr>
      <w:r>
        <w:t xml:space="preserve">Leverantören </w:t>
      </w:r>
      <w:r w:rsidR="002C0701">
        <w:t xml:space="preserve">ändrar signalerna enligt </w:t>
      </w:r>
      <w:r w:rsidR="00956E4D">
        <w:fldChar w:fldCharType="begin"/>
      </w:r>
      <w:r w:rsidR="00956E4D">
        <w:instrText xml:space="preserve"> REF _Ref68161942 \h </w:instrText>
      </w:r>
      <w:r w:rsidR="00956E4D">
        <w:fldChar w:fldCharType="separate"/>
      </w:r>
      <w:r w:rsidR="00161E96">
        <w:t xml:space="preserve">Tabell </w:t>
      </w:r>
      <w:r w:rsidR="00161E96">
        <w:rPr>
          <w:noProof/>
        </w:rPr>
        <w:t>8</w:t>
      </w:r>
      <w:r w:rsidR="00956E4D">
        <w:fldChar w:fldCharType="end"/>
      </w:r>
      <w:r w:rsidR="001E5129">
        <w:t xml:space="preserve">. </w:t>
      </w:r>
      <w:r w:rsidR="002C0701">
        <w:t xml:space="preserve">Efter varje förändring </w:t>
      </w:r>
      <w:r>
        <w:t>av</w:t>
      </w:r>
      <w:r w:rsidR="002C0701">
        <w:t xml:space="preserve"> en signal ska </w:t>
      </w:r>
      <w:r>
        <w:t>Svenska kraftnät</w:t>
      </w:r>
      <w:r w:rsidR="002C0701">
        <w:t xml:space="preserve"> läsa upp mottagen signal innan </w:t>
      </w:r>
      <w:r>
        <w:t>leverantören</w:t>
      </w:r>
      <w:r w:rsidR="002C0701">
        <w:t xml:space="preserve"> uppdaterar </w:t>
      </w:r>
      <w:r w:rsidR="003C2B95">
        <w:t>signalen</w:t>
      </w:r>
      <w:r w:rsidR="002C0701">
        <w:t xml:space="preserve"> igen.</w:t>
      </w:r>
    </w:p>
    <w:p w14:paraId="79C53C39" w14:textId="095A5E17" w:rsidR="001E5129" w:rsidRDefault="002C0701" w:rsidP="005B1CE3">
      <w:pPr>
        <w:pStyle w:val="Brdtext"/>
      </w:pPr>
      <w:r>
        <w:t xml:space="preserve">Om ansökan endast </w:t>
      </w:r>
      <w:r w:rsidR="001D1B66">
        <w:t>avser</w:t>
      </w:r>
      <w:r>
        <w:t xml:space="preserve"> leverans av aFRR för uppreglering eller</w:t>
      </w:r>
      <w:r w:rsidR="001D1B66">
        <w:t xml:space="preserve"> endast</w:t>
      </w:r>
      <w:r>
        <w:t xml:space="preserve"> aFRR för nedreglering </w:t>
      </w:r>
      <w:r w:rsidR="001D1B66">
        <w:t>kan en kortare sekvens tillämpas vid test av</w:t>
      </w:r>
      <w:r w:rsidR="006C378C">
        <w:t xml:space="preserve"> de första fyra signalerna i</w:t>
      </w:r>
      <w:r w:rsidR="00A8669A">
        <w:t xml:space="preserve"> </w:t>
      </w:r>
      <w:r w:rsidR="00A8669A">
        <w:fldChar w:fldCharType="begin"/>
      </w:r>
      <w:r w:rsidR="00A8669A">
        <w:instrText xml:space="preserve"> REF _Ref68161942 \h </w:instrText>
      </w:r>
      <w:r w:rsidR="00A8669A">
        <w:fldChar w:fldCharType="separate"/>
      </w:r>
      <w:r w:rsidR="00161E96">
        <w:t xml:space="preserve">Tabell </w:t>
      </w:r>
      <w:r w:rsidR="00161E96">
        <w:rPr>
          <w:noProof/>
        </w:rPr>
        <w:t>8</w:t>
      </w:r>
      <w:r w:rsidR="00A8669A">
        <w:fldChar w:fldCharType="end"/>
      </w:r>
      <w:r w:rsidR="001D1B66">
        <w:t>.</w:t>
      </w:r>
    </w:p>
    <w:p w14:paraId="53EC4A79" w14:textId="05EAE07C" w:rsidR="00207239" w:rsidRDefault="00207239" w:rsidP="005B1CE3">
      <w:pPr>
        <w:pStyle w:val="Brdtext"/>
      </w:pPr>
      <w:r>
        <w:t>Denna del av signaltestet kräver ej att leverantören registrerar och sparar data.</w:t>
      </w:r>
    </w:p>
    <w:p w14:paraId="57BFB9DD" w14:textId="3E796DF1" w:rsidR="00A8669A" w:rsidRDefault="00A8669A" w:rsidP="005B1CE3">
      <w:pPr>
        <w:pStyle w:val="Beskrivning"/>
        <w:keepNext/>
      </w:pPr>
      <w:bookmarkStart w:id="12" w:name="_Ref68161942"/>
      <w:r>
        <w:t xml:space="preserve">Tabell </w:t>
      </w:r>
      <w:r w:rsidR="003B076F">
        <w:fldChar w:fldCharType="begin"/>
      </w:r>
      <w:r w:rsidR="003B076F">
        <w:instrText xml:space="preserve"> SEQ Tabell \* ARABIC </w:instrText>
      </w:r>
      <w:r w:rsidR="003B076F">
        <w:fldChar w:fldCharType="separate"/>
      </w:r>
      <w:r w:rsidR="00875271">
        <w:rPr>
          <w:noProof/>
        </w:rPr>
        <w:t>8</w:t>
      </w:r>
      <w:r w:rsidR="003B076F">
        <w:rPr>
          <w:noProof/>
        </w:rPr>
        <w:fldChar w:fldCharType="end"/>
      </w:r>
      <w:bookmarkEnd w:id="12"/>
      <w:r>
        <w:t>. Beskrivning av hur signaltestet ska utföras vid test av signaler från leverantör till TSO.</w:t>
      </w:r>
    </w:p>
    <w:tbl>
      <w:tblPr>
        <w:tblStyle w:val="Tabellrutnt"/>
        <w:tblW w:w="0" w:type="auto"/>
        <w:tblLook w:val="04A0" w:firstRow="1" w:lastRow="0" w:firstColumn="1" w:lastColumn="0" w:noHBand="0" w:noVBand="1"/>
      </w:tblPr>
      <w:tblGrid>
        <w:gridCol w:w="2830"/>
        <w:gridCol w:w="2552"/>
        <w:gridCol w:w="1978"/>
      </w:tblGrid>
      <w:tr w:rsidR="004674A7" w14:paraId="2E90160E" w14:textId="77777777" w:rsidTr="005E4AB9">
        <w:tc>
          <w:tcPr>
            <w:tcW w:w="2830" w:type="dxa"/>
            <w:shd w:val="clear" w:color="auto" w:fill="D9D9D9" w:themeFill="background1" w:themeFillShade="D9"/>
          </w:tcPr>
          <w:p w14:paraId="1B23CD70" w14:textId="77777777" w:rsidR="004674A7" w:rsidRDefault="004674A7" w:rsidP="005E4AB9">
            <w:pPr>
              <w:pStyle w:val="Brdtext"/>
            </w:pPr>
            <w:r w:rsidRPr="00452B07">
              <w:rPr>
                <w:b/>
              </w:rPr>
              <w:t>Signal</w:t>
            </w:r>
          </w:p>
        </w:tc>
        <w:tc>
          <w:tcPr>
            <w:tcW w:w="2552" w:type="dxa"/>
            <w:shd w:val="clear" w:color="auto" w:fill="D9D9D9" w:themeFill="background1" w:themeFillShade="D9"/>
          </w:tcPr>
          <w:p w14:paraId="478D153B" w14:textId="77777777" w:rsidR="004674A7" w:rsidRDefault="004674A7" w:rsidP="005E4AB9">
            <w:pPr>
              <w:pStyle w:val="Brdtext"/>
            </w:pPr>
            <w:r w:rsidRPr="00452B07">
              <w:rPr>
                <w:b/>
              </w:rPr>
              <w:t>Sekvens</w:t>
            </w:r>
          </w:p>
        </w:tc>
        <w:tc>
          <w:tcPr>
            <w:tcW w:w="1978" w:type="dxa"/>
            <w:shd w:val="clear" w:color="auto" w:fill="D9D9D9" w:themeFill="background1" w:themeFillShade="D9"/>
          </w:tcPr>
          <w:p w14:paraId="0A746695" w14:textId="77777777" w:rsidR="004674A7" w:rsidRDefault="004674A7" w:rsidP="005E4AB9">
            <w:pPr>
              <w:pStyle w:val="Brdtext"/>
            </w:pPr>
            <w:r w:rsidRPr="00452B07">
              <w:rPr>
                <w:b/>
              </w:rPr>
              <w:t>Verifiering</w:t>
            </w:r>
          </w:p>
        </w:tc>
      </w:tr>
      <w:tr w:rsidR="004674A7" w14:paraId="72A1F24C" w14:textId="77777777" w:rsidTr="005E4AB9">
        <w:tc>
          <w:tcPr>
            <w:tcW w:w="2830" w:type="dxa"/>
          </w:tcPr>
          <w:p w14:paraId="68AAEC34" w14:textId="77777777" w:rsidR="004674A7" w:rsidRPr="00452B07" w:rsidRDefault="004674A7" w:rsidP="005E4AB9">
            <w:pPr>
              <w:pStyle w:val="Brdtext"/>
              <w:rPr>
                <w:lang w:val="en-US"/>
              </w:rPr>
            </w:pPr>
            <w:r w:rsidRPr="00452B07">
              <w:rPr>
                <w:lang w:val="en-US"/>
              </w:rPr>
              <w:t>aFRR Setpoint Confirm</w:t>
            </w:r>
          </w:p>
          <w:p w14:paraId="00346DEC" w14:textId="77777777" w:rsidR="004674A7" w:rsidRPr="00452B07" w:rsidRDefault="004674A7" w:rsidP="005E4AB9">
            <w:pPr>
              <w:pStyle w:val="Brdtext"/>
              <w:rPr>
                <w:lang w:val="en-US"/>
              </w:rPr>
            </w:pPr>
            <w:r w:rsidRPr="00452B07">
              <w:rPr>
                <w:lang w:val="en-US"/>
              </w:rPr>
              <w:t>aFRR Capacity Up</w:t>
            </w:r>
            <w:r>
              <w:rPr>
                <w:rStyle w:val="Fotnotsreferens"/>
              </w:rPr>
              <w:footnoteReference w:id="7"/>
            </w:r>
          </w:p>
          <w:p w14:paraId="7669A0D7" w14:textId="77777777" w:rsidR="004674A7" w:rsidRPr="00452B07" w:rsidRDefault="004674A7" w:rsidP="005E4AB9">
            <w:pPr>
              <w:pStyle w:val="Brdtext"/>
              <w:rPr>
                <w:lang w:val="en-US"/>
              </w:rPr>
            </w:pPr>
            <w:r w:rsidRPr="00452B07">
              <w:rPr>
                <w:lang w:val="en-US"/>
              </w:rPr>
              <w:t>aFRR Capacity Down</w:t>
            </w:r>
            <w:r>
              <w:rPr>
                <w:rStyle w:val="Fotnotsreferens"/>
              </w:rPr>
              <w:footnoteReference w:id="8"/>
            </w:r>
          </w:p>
          <w:p w14:paraId="4D4C5B75" w14:textId="77777777" w:rsidR="004674A7" w:rsidRPr="004674A7" w:rsidRDefault="004674A7" w:rsidP="005E4AB9">
            <w:pPr>
              <w:pStyle w:val="Brdtext"/>
              <w:rPr>
                <w:lang w:val="en-US"/>
              </w:rPr>
            </w:pPr>
            <w:r w:rsidRPr="00452B07">
              <w:rPr>
                <w:lang w:val="en-US"/>
              </w:rPr>
              <w:t>aFRR Activated</w:t>
            </w:r>
          </w:p>
        </w:tc>
        <w:tc>
          <w:tcPr>
            <w:tcW w:w="2552" w:type="dxa"/>
          </w:tcPr>
          <w:p w14:paraId="055D6968" w14:textId="528C5765" w:rsidR="004674A7" w:rsidRDefault="004674A7" w:rsidP="005E4AB9">
            <w:pPr>
              <w:pStyle w:val="Brdtext"/>
            </w:pPr>
            <w:r>
              <w:t>Ändra börvärdet</w:t>
            </w:r>
            <w:r w:rsidR="00591F3B">
              <w:rPr>
                <w:rStyle w:val="Fotnotsreferens"/>
              </w:rPr>
              <w:footnoteReference w:id="9"/>
            </w:r>
            <w:r>
              <w:t>:</w:t>
            </w:r>
            <w:r>
              <w:br/>
              <w:t>0; 1; 2; max; min; -2, -1, 0</w:t>
            </w:r>
          </w:p>
          <w:p w14:paraId="6BA15C59" w14:textId="77777777" w:rsidR="004674A7" w:rsidRDefault="004674A7" w:rsidP="005E4AB9">
            <w:pPr>
              <w:pStyle w:val="Brdtext"/>
            </w:pPr>
            <w:r>
              <w:t>Förkortad version uppreglering:</w:t>
            </w:r>
            <w:r>
              <w:br/>
              <w:t>0; 1; 2; max; 0</w:t>
            </w:r>
          </w:p>
          <w:p w14:paraId="2860AA8F" w14:textId="77777777" w:rsidR="004674A7" w:rsidRDefault="004674A7" w:rsidP="005E4AB9">
            <w:pPr>
              <w:pStyle w:val="Brdtext"/>
            </w:pPr>
            <w:r>
              <w:t>Förkortad version nedreglering:</w:t>
            </w:r>
            <w:r>
              <w:br/>
              <w:t>0; -1; -2, min; 0</w:t>
            </w:r>
          </w:p>
        </w:tc>
        <w:tc>
          <w:tcPr>
            <w:tcW w:w="1978" w:type="dxa"/>
          </w:tcPr>
          <w:p w14:paraId="1F7BFCE7" w14:textId="77777777" w:rsidR="004674A7" w:rsidRDefault="004674A7" w:rsidP="005E4AB9">
            <w:pPr>
              <w:pStyle w:val="Brdtext"/>
            </w:pPr>
            <w:r>
              <w:t>TSO läser av mottaget värde och meddelar det till leverantören</w:t>
            </w:r>
          </w:p>
        </w:tc>
      </w:tr>
      <w:tr w:rsidR="004674A7" w14:paraId="6631529B" w14:textId="77777777" w:rsidTr="005E4AB9">
        <w:tc>
          <w:tcPr>
            <w:tcW w:w="2830" w:type="dxa"/>
          </w:tcPr>
          <w:p w14:paraId="49D93948" w14:textId="77777777" w:rsidR="004674A7" w:rsidRDefault="004674A7" w:rsidP="005E4AB9">
            <w:pPr>
              <w:pStyle w:val="Brdtext"/>
            </w:pPr>
            <w:r>
              <w:t xml:space="preserve">aFRR Remote Control Permit </w:t>
            </w:r>
          </w:p>
        </w:tc>
        <w:tc>
          <w:tcPr>
            <w:tcW w:w="2552" w:type="dxa"/>
          </w:tcPr>
          <w:p w14:paraId="2D7759BF" w14:textId="77777777" w:rsidR="004674A7" w:rsidRDefault="004674A7" w:rsidP="005E4AB9">
            <w:pPr>
              <w:pStyle w:val="Brdtext"/>
            </w:pPr>
            <w:r>
              <w:t>Sätt signalen till ON</w:t>
            </w:r>
          </w:p>
          <w:p w14:paraId="56BABF04" w14:textId="77777777" w:rsidR="004674A7" w:rsidRDefault="004674A7" w:rsidP="005E4AB9">
            <w:pPr>
              <w:pStyle w:val="Brdtext"/>
            </w:pPr>
            <w:r>
              <w:t>Sätt signalen till OFF</w:t>
            </w:r>
          </w:p>
        </w:tc>
        <w:tc>
          <w:tcPr>
            <w:tcW w:w="1978" w:type="dxa"/>
          </w:tcPr>
          <w:p w14:paraId="553ED2FF" w14:textId="77777777" w:rsidR="004674A7" w:rsidRDefault="004674A7" w:rsidP="005E4AB9">
            <w:pPr>
              <w:pStyle w:val="Brdtext"/>
            </w:pPr>
            <w:r>
              <w:t>TSO läser av mottaget värde och meddelar det till leverantören</w:t>
            </w:r>
          </w:p>
        </w:tc>
      </w:tr>
    </w:tbl>
    <w:p w14:paraId="5005066C" w14:textId="0D4AAEA8" w:rsidR="00EE300D" w:rsidRDefault="00EE300D" w:rsidP="004674A7">
      <w:pPr>
        <w:pStyle w:val="Brdtext"/>
      </w:pPr>
    </w:p>
    <w:p w14:paraId="3709A36F" w14:textId="3044F645" w:rsidR="00990EBC" w:rsidRPr="00DA1654" w:rsidRDefault="005E09D9" w:rsidP="001E5129">
      <w:pPr>
        <w:pStyle w:val="Rubrik3"/>
      </w:pPr>
      <w:r w:rsidRPr="00DA1654">
        <w:t>4</w:t>
      </w:r>
      <w:r w:rsidR="001E5129" w:rsidRPr="00DA1654">
        <w:t>.1.</w:t>
      </w:r>
      <w:r w:rsidR="009148B8" w:rsidRPr="00DA1654">
        <w:t>3</w:t>
      </w:r>
      <w:r w:rsidR="001E5129" w:rsidRPr="00DA1654">
        <w:t xml:space="preserve"> Kommunikationsavbrottstest </w:t>
      </w:r>
    </w:p>
    <w:p w14:paraId="1A916B68" w14:textId="573EC176" w:rsidR="00804864" w:rsidRDefault="003C2B95" w:rsidP="00310535">
      <w:pPr>
        <w:pStyle w:val="Brdtext"/>
      </w:pPr>
      <w:r w:rsidRPr="00DA1654">
        <w:t xml:space="preserve">Svenska kraftnät </w:t>
      </w:r>
      <w:r w:rsidR="00C620BD" w:rsidRPr="00DA1654">
        <w:t xml:space="preserve">simulerar ett kort avbrott i realtidskommunikationen med leverantören genom att stänga </w:t>
      </w:r>
      <w:r w:rsidRPr="00DA1654">
        <w:t>av börvärdessignalen</w:t>
      </w:r>
      <w:r w:rsidR="004674A7" w:rsidRPr="00DA1654">
        <w:t xml:space="preserve"> (</w:t>
      </w:r>
      <w:r w:rsidR="004674A7" w:rsidRPr="00DA1654">
        <w:rPr>
          <w:i/>
        </w:rPr>
        <w:t>aFRR Setpoint</w:t>
      </w:r>
      <w:r w:rsidR="004674A7" w:rsidRPr="00DA1654">
        <w:t>)</w:t>
      </w:r>
      <w:r w:rsidR="00C620BD" w:rsidRPr="00DA1654">
        <w:t xml:space="preserve">. </w:t>
      </w:r>
      <w:r w:rsidRPr="00DA1654">
        <w:t>Leverantören läser av börvärde</w:t>
      </w:r>
      <w:r w:rsidR="00C620BD" w:rsidRPr="00DA1654">
        <w:t>t</w:t>
      </w:r>
      <w:r w:rsidRPr="00DA1654">
        <w:t xml:space="preserve"> i sitt </w:t>
      </w:r>
      <w:r w:rsidR="00C620BD" w:rsidRPr="0012397B">
        <w:t>driftinformationssystem</w:t>
      </w:r>
      <w:r w:rsidR="00310535" w:rsidRPr="00DA1654">
        <w:t xml:space="preserve"> efter att kommunikationsavbrott simulerats</w:t>
      </w:r>
      <w:r w:rsidR="00C620BD" w:rsidRPr="00DA1654">
        <w:t xml:space="preserve"> och meddelar det till Svenska kraftnät</w:t>
      </w:r>
      <w:r w:rsidR="00E0113A">
        <w:t>.</w:t>
      </w:r>
    </w:p>
    <w:p w14:paraId="05F3AC74" w14:textId="3264B802" w:rsidR="00EE300D" w:rsidRPr="00E0113A" w:rsidRDefault="00E0113A" w:rsidP="00E0113A">
      <w:pPr>
        <w:pStyle w:val="Rubrik2"/>
      </w:pPr>
      <w:r w:rsidRPr="00E0113A">
        <w:rPr>
          <w:rStyle w:val="Rubrik3Char"/>
          <w:sz w:val="28"/>
          <w:szCs w:val="26"/>
        </w:rPr>
        <w:t xml:space="preserve">4.2 </w:t>
      </w:r>
      <w:r w:rsidR="00EE300D" w:rsidRPr="00E0113A">
        <w:rPr>
          <w:rStyle w:val="Rubrik3Char"/>
          <w:sz w:val="28"/>
          <w:szCs w:val="26"/>
        </w:rPr>
        <w:t>Aktiv reglering</w:t>
      </w:r>
      <w:r w:rsidR="00EE300D" w:rsidRPr="00E0113A">
        <w:t xml:space="preserve"> </w:t>
      </w:r>
    </w:p>
    <w:p w14:paraId="506DC5EE" w14:textId="5BD95653" w:rsidR="00D4796B" w:rsidRDefault="000C69D0" w:rsidP="00310535">
      <w:pPr>
        <w:pStyle w:val="Brdtext"/>
      </w:pPr>
      <w:r>
        <w:t xml:space="preserve">I testet för aktiv reglering skickar </w:t>
      </w:r>
      <w:r w:rsidR="008F66F1">
        <w:t xml:space="preserve">Svenska kraftnät en signal till leverantören att ändra börvärdet för hela reglerobjektet. Leverantören </w:t>
      </w:r>
      <w:r w:rsidR="00D85E74">
        <w:t>redovisar</w:t>
      </w:r>
      <w:r w:rsidR="008F66F1">
        <w:t xml:space="preserve"> att motsvarande volym aFRR har akti</w:t>
      </w:r>
      <w:r w:rsidR="00D85E74">
        <w:t xml:space="preserve">verats för reglerobjektet. </w:t>
      </w:r>
      <w:r w:rsidR="00C63828">
        <w:t>Stegsekvensen för testet Aktiv reglering redovisas i</w:t>
      </w:r>
      <w:r w:rsidR="00161E96">
        <w:t xml:space="preserve"> </w:t>
      </w:r>
      <w:r w:rsidR="00161E96">
        <w:fldChar w:fldCharType="begin"/>
      </w:r>
      <w:r w:rsidR="00161E96">
        <w:instrText xml:space="preserve"> REF _Ref104793974 \h </w:instrText>
      </w:r>
      <w:r w:rsidR="00161E96">
        <w:fldChar w:fldCharType="separate"/>
      </w:r>
      <w:r w:rsidR="00161E96">
        <w:t xml:space="preserve">Tabell </w:t>
      </w:r>
      <w:r w:rsidR="00161E96">
        <w:rPr>
          <w:noProof/>
        </w:rPr>
        <w:t>9</w:t>
      </w:r>
      <w:r w:rsidR="00161E96">
        <w:fldChar w:fldCharType="end"/>
      </w:r>
      <w:r w:rsidR="00161E96">
        <w:t>.</w:t>
      </w:r>
      <w:r w:rsidR="00C63828">
        <w:t xml:space="preserve"> </w:t>
      </w:r>
    </w:p>
    <w:p w14:paraId="461545A4" w14:textId="34358FEF" w:rsidR="00C63828" w:rsidRDefault="00C63828" w:rsidP="00030EA9">
      <w:pPr>
        <w:pStyle w:val="Beskrivning"/>
        <w:keepNext/>
      </w:pPr>
      <w:bookmarkStart w:id="13" w:name="_Ref104793974"/>
      <w:r>
        <w:t xml:space="preserve">Tabell </w:t>
      </w:r>
      <w:r w:rsidR="003B076F">
        <w:fldChar w:fldCharType="begin"/>
      </w:r>
      <w:r w:rsidR="003B076F">
        <w:instrText xml:space="preserve"> SEQ Tabell \* ARABIC </w:instrText>
      </w:r>
      <w:r w:rsidR="003B076F">
        <w:fldChar w:fldCharType="separate"/>
      </w:r>
      <w:r w:rsidR="00875271">
        <w:rPr>
          <w:noProof/>
        </w:rPr>
        <w:t>9</w:t>
      </w:r>
      <w:r w:rsidR="003B076F">
        <w:rPr>
          <w:noProof/>
        </w:rPr>
        <w:fldChar w:fldCharType="end"/>
      </w:r>
      <w:bookmarkEnd w:id="13"/>
      <w:r>
        <w:t>: Stegsekvens för test av aktiv reglering.</w:t>
      </w:r>
    </w:p>
    <w:tbl>
      <w:tblPr>
        <w:tblStyle w:val="Tabellrutnt"/>
        <w:tblW w:w="0" w:type="auto"/>
        <w:tblLook w:val="04A0" w:firstRow="1" w:lastRow="0" w:firstColumn="1" w:lastColumn="0" w:noHBand="0" w:noVBand="1"/>
      </w:tblPr>
      <w:tblGrid>
        <w:gridCol w:w="2165"/>
        <w:gridCol w:w="2610"/>
        <w:gridCol w:w="2585"/>
      </w:tblGrid>
      <w:tr w:rsidR="00C63828" w14:paraId="354728E0" w14:textId="77777777" w:rsidTr="005233CC">
        <w:tc>
          <w:tcPr>
            <w:tcW w:w="2165" w:type="dxa"/>
            <w:shd w:val="clear" w:color="auto" w:fill="D9D9D9" w:themeFill="background1" w:themeFillShade="D9"/>
          </w:tcPr>
          <w:p w14:paraId="25F6B55B" w14:textId="77777777" w:rsidR="00C63828" w:rsidRPr="004674A7" w:rsidRDefault="00C63828" w:rsidP="005233CC">
            <w:pPr>
              <w:pStyle w:val="Brdtext"/>
              <w:rPr>
                <w:b/>
              </w:rPr>
            </w:pPr>
            <w:r>
              <w:rPr>
                <w:b/>
              </w:rPr>
              <w:t>Steg</w:t>
            </w:r>
          </w:p>
        </w:tc>
        <w:tc>
          <w:tcPr>
            <w:tcW w:w="2610" w:type="dxa"/>
            <w:shd w:val="clear" w:color="auto" w:fill="D9D9D9" w:themeFill="background1" w:themeFillShade="D9"/>
          </w:tcPr>
          <w:p w14:paraId="04982E8B" w14:textId="77777777" w:rsidR="00C63828" w:rsidRPr="004674A7" w:rsidRDefault="00C63828" w:rsidP="005233CC">
            <w:pPr>
              <w:pStyle w:val="Brdtext"/>
              <w:rPr>
                <w:b/>
              </w:rPr>
            </w:pPr>
            <w:r w:rsidRPr="004674A7">
              <w:rPr>
                <w:b/>
              </w:rPr>
              <w:t>Tid [minuter]</w:t>
            </w:r>
          </w:p>
        </w:tc>
        <w:tc>
          <w:tcPr>
            <w:tcW w:w="2585" w:type="dxa"/>
            <w:shd w:val="clear" w:color="auto" w:fill="D9D9D9" w:themeFill="background1" w:themeFillShade="D9"/>
          </w:tcPr>
          <w:p w14:paraId="5D3E2CBD" w14:textId="77777777" w:rsidR="00C63828" w:rsidRPr="004674A7" w:rsidRDefault="00C63828" w:rsidP="005233CC">
            <w:pPr>
              <w:pStyle w:val="Brdtext"/>
              <w:rPr>
                <w:b/>
              </w:rPr>
            </w:pPr>
            <w:r w:rsidRPr="004674A7">
              <w:rPr>
                <w:b/>
              </w:rPr>
              <w:t>Börvärde aFRR [MW]</w:t>
            </w:r>
          </w:p>
        </w:tc>
      </w:tr>
      <w:tr w:rsidR="00C63828" w14:paraId="31DC140B" w14:textId="77777777" w:rsidTr="005233CC">
        <w:tc>
          <w:tcPr>
            <w:tcW w:w="2165" w:type="dxa"/>
          </w:tcPr>
          <w:p w14:paraId="05F7E787" w14:textId="77777777" w:rsidR="00C63828" w:rsidRDefault="00C63828" w:rsidP="005233CC">
            <w:pPr>
              <w:pStyle w:val="Brdtext"/>
            </w:pPr>
            <w:r>
              <w:t>0</w:t>
            </w:r>
          </w:p>
        </w:tc>
        <w:tc>
          <w:tcPr>
            <w:tcW w:w="2610" w:type="dxa"/>
          </w:tcPr>
          <w:p w14:paraId="1279EAD5" w14:textId="77777777" w:rsidR="00C63828" w:rsidRDefault="00C63828" w:rsidP="005233CC">
            <w:pPr>
              <w:pStyle w:val="Brdtext"/>
            </w:pPr>
            <w:r>
              <w:t>0</w:t>
            </w:r>
          </w:p>
        </w:tc>
        <w:tc>
          <w:tcPr>
            <w:tcW w:w="2585" w:type="dxa"/>
          </w:tcPr>
          <w:p w14:paraId="6A32971D" w14:textId="77777777" w:rsidR="00C63828" w:rsidRDefault="00C63828" w:rsidP="005233CC">
            <w:pPr>
              <w:pStyle w:val="Brdtext"/>
            </w:pPr>
            <w:r>
              <w:t>0</w:t>
            </w:r>
          </w:p>
        </w:tc>
      </w:tr>
      <w:tr w:rsidR="00C63828" w14:paraId="0847B9EB" w14:textId="77777777" w:rsidTr="005233CC">
        <w:tc>
          <w:tcPr>
            <w:tcW w:w="2165" w:type="dxa"/>
          </w:tcPr>
          <w:p w14:paraId="62F9C209" w14:textId="77777777" w:rsidR="00C63828" w:rsidRDefault="00C63828" w:rsidP="005233CC">
            <w:pPr>
              <w:pStyle w:val="Brdtext"/>
            </w:pPr>
            <w:r>
              <w:t>1</w:t>
            </w:r>
          </w:p>
        </w:tc>
        <w:tc>
          <w:tcPr>
            <w:tcW w:w="2610" w:type="dxa"/>
          </w:tcPr>
          <w:p w14:paraId="2295BD85" w14:textId="77777777" w:rsidR="00C63828" w:rsidRDefault="00C63828" w:rsidP="005233CC">
            <w:pPr>
              <w:pStyle w:val="Brdtext"/>
            </w:pPr>
            <w:r>
              <w:t>5</w:t>
            </w:r>
          </w:p>
        </w:tc>
        <w:tc>
          <w:tcPr>
            <w:tcW w:w="2585" w:type="dxa"/>
          </w:tcPr>
          <w:p w14:paraId="65946085" w14:textId="02EE89E8" w:rsidR="00C63828" w:rsidRDefault="00287A6F" w:rsidP="00287A6F">
            <w:pPr>
              <w:pStyle w:val="Brdtext"/>
            </w:pPr>
            <w:r>
              <w:t>X</w:t>
            </w:r>
            <w:r w:rsidR="009939A8">
              <w:t xml:space="preserve"> MW</w:t>
            </w:r>
            <w:r>
              <w:rPr>
                <w:rStyle w:val="Fotnotsreferens"/>
              </w:rPr>
              <w:footnoteReference w:id="10"/>
            </w:r>
          </w:p>
        </w:tc>
      </w:tr>
    </w:tbl>
    <w:p w14:paraId="1170252C" w14:textId="77777777" w:rsidR="00C63828" w:rsidRDefault="00C63828" w:rsidP="00310535">
      <w:pPr>
        <w:pStyle w:val="Brdtext"/>
      </w:pPr>
    </w:p>
    <w:p w14:paraId="64D3F9FB" w14:textId="68A7838A" w:rsidR="00207239" w:rsidRPr="00207239" w:rsidRDefault="00D4796B" w:rsidP="00207239">
      <w:pPr>
        <w:pStyle w:val="Brdtext"/>
        <w:rPr>
          <w:szCs w:val="20"/>
        </w:rPr>
      </w:pPr>
      <w:r w:rsidRPr="004730CD">
        <w:t xml:space="preserve">Under testet för aktiv reglering kan reaktionstiden </w:t>
      </w:r>
      <w:r w:rsidR="00B81C82" w:rsidRPr="004730CD">
        <w:t xml:space="preserve">fastställas. </w:t>
      </w:r>
      <w:r w:rsidR="005233CC" w:rsidRPr="004730CD">
        <w:t xml:space="preserve">Reaktionstiden är den tid det tar från att Svk skickar ett nytt börvärde till att enheten/gruppen börjar reglera. </w:t>
      </w:r>
      <w:r w:rsidRPr="004730CD">
        <w:t xml:space="preserve">För att </w:t>
      </w:r>
      <w:r w:rsidR="007C425E">
        <w:t>verifiera</w:t>
      </w:r>
      <w:r w:rsidR="007C425E" w:rsidRPr="004730CD">
        <w:t xml:space="preserve"> </w:t>
      </w:r>
      <w:r w:rsidRPr="004730CD">
        <w:t>att kravet på reaktionstid (&lt;30s) uppfylls krävs att leverantören registrera</w:t>
      </w:r>
      <w:r w:rsidR="005233CC" w:rsidRPr="004730CD">
        <w:t>r</w:t>
      </w:r>
      <w:r w:rsidRPr="004730CD">
        <w:t xml:space="preserve"> och spara</w:t>
      </w:r>
      <w:r w:rsidR="005233CC" w:rsidRPr="004730CD">
        <w:t>r</w:t>
      </w:r>
      <w:r w:rsidRPr="004730CD">
        <w:t xml:space="preserve"> data </w:t>
      </w:r>
      <w:r w:rsidR="001E28FC" w:rsidRPr="004730CD">
        <w:t xml:space="preserve">från testet. </w:t>
      </w:r>
      <w:r w:rsidR="00E97715" w:rsidRPr="004730CD">
        <w:t>De data</w:t>
      </w:r>
      <w:r w:rsidR="001E28FC" w:rsidRPr="004730CD">
        <w:t xml:space="preserve"> som ska loggas under testet Aktiv reglering redovisas i</w:t>
      </w:r>
      <w:r w:rsidR="00161E96">
        <w:t xml:space="preserve"> </w:t>
      </w:r>
      <w:r w:rsidR="00161E96">
        <w:fldChar w:fldCharType="begin"/>
      </w:r>
      <w:r w:rsidR="00161E96">
        <w:instrText xml:space="preserve"> REF _Ref104794055 \h </w:instrText>
      </w:r>
      <w:r w:rsidR="00161E96">
        <w:fldChar w:fldCharType="separate"/>
      </w:r>
      <w:r w:rsidR="00161E96">
        <w:t xml:space="preserve">Tabell </w:t>
      </w:r>
      <w:r w:rsidR="00161E96">
        <w:rPr>
          <w:noProof/>
        </w:rPr>
        <w:t>6</w:t>
      </w:r>
      <w:r w:rsidR="00161E96">
        <w:fldChar w:fldCharType="end"/>
      </w:r>
      <w:r w:rsidR="00161E96">
        <w:t>.</w:t>
      </w:r>
    </w:p>
    <w:p w14:paraId="4048C89D" w14:textId="0077BAF6" w:rsidR="0001296B" w:rsidRDefault="005E09D9" w:rsidP="00A74E82">
      <w:pPr>
        <w:pStyle w:val="Rubrik2"/>
      </w:pPr>
      <w:r>
        <w:t>4</w:t>
      </w:r>
      <w:r w:rsidR="0001296B">
        <w:t>.</w:t>
      </w:r>
      <w:r w:rsidR="00E0113A">
        <w:t>3</w:t>
      </w:r>
      <w:r w:rsidR="0001296B">
        <w:t xml:space="preserve"> </w:t>
      </w:r>
      <w:r w:rsidR="004B2EBC">
        <w:t>Kapacitetstestet</w:t>
      </w:r>
      <w:r w:rsidR="00CB7023">
        <w:t xml:space="preserve"> </w:t>
      </w:r>
    </w:p>
    <w:p w14:paraId="1FBD9C91" w14:textId="6D4C0E83" w:rsidR="0001296B" w:rsidRDefault="004B2EBC" w:rsidP="003A5849">
      <w:pPr>
        <w:pStyle w:val="Brdtext"/>
      </w:pPr>
      <w:r>
        <w:t>Kapacitetstestet</w:t>
      </w:r>
      <w:r w:rsidR="003A5849">
        <w:t xml:space="preserve"> är uppdelat i två delar, </w:t>
      </w:r>
      <w:r w:rsidR="003F6A92">
        <w:t>den första delen</w:t>
      </w:r>
      <w:r w:rsidR="003A5849">
        <w:t xml:space="preserve"> testar responsen vid uppreglering och den andra delen testar responsen vid nedreglering. Avser ansökan endast leverans av aFRR för uppreglering</w:t>
      </w:r>
      <w:r w:rsidR="00302858">
        <w:t>,</w:t>
      </w:r>
      <w:r w:rsidR="003A5849">
        <w:t xml:space="preserve"> alternativ e</w:t>
      </w:r>
      <w:r w:rsidR="00310535">
        <w:t>ndast aFR</w:t>
      </w:r>
      <w:r w:rsidR="00302858">
        <w:t xml:space="preserve">R för nedreglering, genomförs </w:t>
      </w:r>
      <w:r w:rsidR="006C4DB7">
        <w:t>enbart motsvarande test</w:t>
      </w:r>
      <w:r w:rsidR="003A5849">
        <w:t xml:space="preserve">. Avser ansökan leverans av aFRR för </w:t>
      </w:r>
      <w:r w:rsidR="006C4DB7">
        <w:t xml:space="preserve">både </w:t>
      </w:r>
      <w:r w:rsidR="003A5849">
        <w:t>uppreglering och nedreglering ska båda testen genomföras.</w:t>
      </w:r>
    </w:p>
    <w:p w14:paraId="72C689BA" w14:textId="1DF9838A" w:rsidR="0096728A" w:rsidRDefault="00703589" w:rsidP="003A5849">
      <w:pPr>
        <w:pStyle w:val="Brdtext"/>
      </w:pPr>
      <w:r>
        <w:t xml:space="preserve">I </w:t>
      </w:r>
      <w:r w:rsidR="004B2EBC">
        <w:t>kapacitetstestet</w:t>
      </w:r>
      <w:r>
        <w:t xml:space="preserve"> </w:t>
      </w:r>
      <w:r w:rsidR="00F81C67">
        <w:t xml:space="preserve">ska signaler skickas </w:t>
      </w:r>
      <w:r>
        <w:t xml:space="preserve">från </w:t>
      </w:r>
      <w:r w:rsidR="004B2EBC">
        <w:t>aktörens</w:t>
      </w:r>
      <w:r w:rsidR="00DA1654">
        <w:t xml:space="preserve"> egna</w:t>
      </w:r>
      <w:r w:rsidR="00C37C61">
        <w:t xml:space="preserve"> D</w:t>
      </w:r>
      <w:r w:rsidR="00C37C61" w:rsidRPr="00C37C61">
        <w:t>riftövervakningssystem</w:t>
      </w:r>
      <w:r w:rsidR="00C37C61">
        <w:t xml:space="preserve"> </w:t>
      </w:r>
      <w:r>
        <w:t xml:space="preserve">till </w:t>
      </w:r>
      <w:r w:rsidR="00F81C67">
        <w:t xml:space="preserve">den </w:t>
      </w:r>
      <w:r w:rsidR="004B2EBC">
        <w:t>e</w:t>
      </w:r>
      <w:r w:rsidR="00381A09">
        <w:t>nhet eller grupp som</w:t>
      </w:r>
      <w:r w:rsidR="00F81C67">
        <w:t xml:space="preserve"> ansökan gäller</w:t>
      </w:r>
      <w:r w:rsidR="00DA1654">
        <w:t>.</w:t>
      </w:r>
      <w:r w:rsidR="00F81C67">
        <w:t xml:space="preserve"> Testet kan utföras utan deltagande från Svenska kraftnät men Svenska kraftnät har rätt att skicka en observatör. Resultatet från testet ska redovisas i ett testprotokoll som sammanställs av </w:t>
      </w:r>
      <w:r w:rsidR="00F81C67" w:rsidRPr="00E978B4">
        <w:t>aktören</w:t>
      </w:r>
      <w:r w:rsidR="00F81C67">
        <w:t xml:space="preserve"> och bifogas i ansökan tillsammans med loggad data.</w:t>
      </w:r>
    </w:p>
    <w:p w14:paraId="6147CF24" w14:textId="0B13421A" w:rsidR="00102292" w:rsidRDefault="005E09D9" w:rsidP="00A74E82">
      <w:pPr>
        <w:pStyle w:val="Rubrik3"/>
      </w:pPr>
      <w:r>
        <w:t>4</w:t>
      </w:r>
      <w:r w:rsidR="0096728A">
        <w:t>.2.1</w:t>
      </w:r>
      <w:r w:rsidR="00780A65">
        <w:t xml:space="preserve"> </w:t>
      </w:r>
      <w:r w:rsidR="00A74E82">
        <w:t>Uppreglering</w:t>
      </w:r>
    </w:p>
    <w:p w14:paraId="086D8CDD" w14:textId="740142A4" w:rsidR="00C81B97" w:rsidRDefault="00381A09" w:rsidP="005B1CE3">
      <w:pPr>
        <w:pStyle w:val="Brdtext"/>
      </w:pPr>
      <w:r>
        <w:t>Aktören</w:t>
      </w:r>
      <w:r w:rsidR="00780A65">
        <w:t xml:space="preserve"> kommer under test att skicka en sekvens av börvärdesförändringar</w:t>
      </w:r>
      <w:r w:rsidR="00F459EB">
        <w:t xml:space="preserve"> för aFRR</w:t>
      </w:r>
      <w:r w:rsidR="00780A65">
        <w:t xml:space="preserve"> till enheten eller </w:t>
      </w:r>
      <w:r w:rsidR="00705BB2">
        <w:t xml:space="preserve">gruppen som ska bidra med aFRR. Sekvensen </w:t>
      </w:r>
      <w:r w:rsidR="00F459EB">
        <w:t xml:space="preserve">för uppreglering </w:t>
      </w:r>
      <w:r w:rsidR="00705BB2">
        <w:t xml:space="preserve">visas i </w:t>
      </w:r>
      <w:r w:rsidR="00F459EB" w:rsidRPr="00F459EB">
        <w:fldChar w:fldCharType="begin"/>
      </w:r>
      <w:r w:rsidR="00F459EB" w:rsidRPr="00F459EB">
        <w:instrText xml:space="preserve"> REF _Ref59553524 \h </w:instrText>
      </w:r>
      <w:r w:rsidR="00F459EB">
        <w:instrText xml:space="preserve"> \* MERGEFORMAT </w:instrText>
      </w:r>
      <w:r w:rsidR="00F459EB" w:rsidRPr="00F459EB">
        <w:fldChar w:fldCharType="separate"/>
      </w:r>
      <w:r w:rsidR="00EA2A1C">
        <w:t xml:space="preserve">Figur </w:t>
      </w:r>
      <w:r w:rsidR="00EA2A1C" w:rsidRPr="00EA2A1C">
        <w:rPr>
          <w:noProof/>
        </w:rPr>
        <w:t>3</w:t>
      </w:r>
      <w:r w:rsidR="00F459EB" w:rsidRPr="00F459EB">
        <w:fldChar w:fldCharType="end"/>
      </w:r>
      <w:r w:rsidR="003F6A92">
        <w:t xml:space="preserve"> </w:t>
      </w:r>
      <w:r w:rsidR="00F459EB" w:rsidRPr="00F459EB">
        <w:t>och</w:t>
      </w:r>
      <w:r w:rsidR="00A8669A">
        <w:t xml:space="preserve"> </w:t>
      </w:r>
      <w:r w:rsidR="00A8669A">
        <w:fldChar w:fldCharType="begin"/>
      </w:r>
      <w:r w:rsidR="00A8669A">
        <w:instrText xml:space="preserve"> REF _Ref68161979 \h </w:instrText>
      </w:r>
      <w:r w:rsidR="00A8669A">
        <w:fldChar w:fldCharType="separate"/>
      </w:r>
      <w:r w:rsidR="00161E96">
        <w:t xml:space="preserve">Tabell </w:t>
      </w:r>
      <w:r w:rsidR="00161E96">
        <w:rPr>
          <w:noProof/>
        </w:rPr>
        <w:t>11</w:t>
      </w:r>
      <w:r w:rsidR="00A8669A">
        <w:fldChar w:fldCharType="end"/>
      </w:r>
      <w:r w:rsidR="00F459EB" w:rsidRPr="00F459EB">
        <w:t>.</w:t>
      </w:r>
      <w:r w:rsidR="003F6A92">
        <w:t xml:space="preserve"> </w:t>
      </w:r>
      <w:r w:rsidR="00552AEC">
        <w:t xml:space="preserve">I testet avrundas stegen om 20 %, 30 % </w:t>
      </w:r>
      <w:r w:rsidR="00552AEC">
        <w:lastRenderedPageBreak/>
        <w:t xml:space="preserve">och 50 % nedåt till närmsta heltal. </w:t>
      </w:r>
      <w:r w:rsidR="003F6A92">
        <w:t>O</w:t>
      </w:r>
      <w:r w:rsidR="00DD40BC">
        <w:t>m ansökan avser en maxkapacitet aFRR</w:t>
      </w:r>
      <w:r w:rsidR="003F6A92">
        <w:t xml:space="preserve"> </w:t>
      </w:r>
      <w:r w:rsidR="00806740">
        <w:t xml:space="preserve">&lt; 10 MW anpassas sekvensen, se </w:t>
      </w:r>
      <w:r w:rsidR="00E03206" w:rsidRPr="00E03206">
        <w:t>Bilaga 1</w:t>
      </w:r>
      <w:r w:rsidR="00806740">
        <w:t>.</w:t>
      </w:r>
    </w:p>
    <w:p w14:paraId="68FFA125" w14:textId="070672FA" w:rsidR="00F459EB" w:rsidRDefault="00F459EB" w:rsidP="005B1CE3">
      <w:pPr>
        <w:pStyle w:val="Brdtext"/>
        <w:keepNext/>
        <w:jc w:val="center"/>
        <w:rPr>
          <w:rFonts w:eastAsia="Georgia"/>
          <w:noProof/>
          <w:sz w:val="16"/>
          <w:szCs w:val="16"/>
        </w:rPr>
      </w:pPr>
    </w:p>
    <w:p w14:paraId="780EFE12" w14:textId="68127346" w:rsidR="00060766" w:rsidRDefault="00060766" w:rsidP="005B1CE3">
      <w:pPr>
        <w:pStyle w:val="Brdtext"/>
        <w:keepNext/>
        <w:jc w:val="center"/>
      </w:pPr>
      <w:r w:rsidRPr="00060766">
        <w:rPr>
          <w:noProof/>
        </w:rPr>
        <w:drawing>
          <wp:inline distT="0" distB="0" distL="0" distR="0" wp14:anchorId="386A91FF" wp14:editId="0EDCCB2C">
            <wp:extent cx="4679950" cy="3507425"/>
            <wp:effectExtent l="0" t="0" r="6350" b="0"/>
            <wp:docPr id="7" name="Bildobjekt 7" descr="G:\Division System\Kraftsystem\SKA\31 Stödtjänster\312 Förkvaldokument\aFRR\Bilder\Kapacitetstest uppregle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Division System\Kraftsystem\SKA\31 Stödtjänster\312 Förkvaldokument\aFRR\Bilder\Kapacitetstest uppreglering.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79950" cy="3507425"/>
                    </a:xfrm>
                    <a:prstGeom prst="rect">
                      <a:avLst/>
                    </a:prstGeom>
                    <a:noFill/>
                    <a:ln>
                      <a:noFill/>
                    </a:ln>
                  </pic:spPr>
                </pic:pic>
              </a:graphicData>
            </a:graphic>
          </wp:inline>
        </w:drawing>
      </w:r>
    </w:p>
    <w:p w14:paraId="31F6ACD7" w14:textId="58335301" w:rsidR="00F459EB" w:rsidRDefault="00F459EB" w:rsidP="006E5727">
      <w:pPr>
        <w:pStyle w:val="Beskrivning"/>
        <w:jc w:val="center"/>
      </w:pPr>
      <w:bookmarkStart w:id="14" w:name="_Ref59553524"/>
      <w:r>
        <w:t xml:space="preserve">Figur </w:t>
      </w:r>
      <w:r w:rsidR="003B3BE2">
        <w:rPr>
          <w:iCs w:val="0"/>
        </w:rPr>
        <w:fldChar w:fldCharType="begin"/>
      </w:r>
      <w:r w:rsidR="003B3BE2">
        <w:rPr>
          <w:iCs w:val="0"/>
        </w:rPr>
        <w:instrText xml:space="preserve"> SEQ Figur \* ARABIC </w:instrText>
      </w:r>
      <w:r w:rsidR="003B3BE2">
        <w:rPr>
          <w:iCs w:val="0"/>
        </w:rPr>
        <w:fldChar w:fldCharType="separate"/>
      </w:r>
      <w:r w:rsidR="00EA2A1C">
        <w:rPr>
          <w:iCs w:val="0"/>
          <w:noProof/>
        </w:rPr>
        <w:t>3</w:t>
      </w:r>
      <w:r w:rsidR="003B3BE2">
        <w:rPr>
          <w:iCs w:val="0"/>
          <w:noProof/>
        </w:rPr>
        <w:fldChar w:fldCharType="end"/>
      </w:r>
      <w:bookmarkEnd w:id="14"/>
      <w:r>
        <w:t xml:space="preserve">. </w:t>
      </w:r>
      <w:r w:rsidR="00302858">
        <w:t>Stegsekvens för test av aFRR uppreglering.</w:t>
      </w:r>
    </w:p>
    <w:p w14:paraId="4354667C" w14:textId="05B9F632" w:rsidR="00A8669A" w:rsidRDefault="00A8669A" w:rsidP="006E5727">
      <w:pPr>
        <w:pStyle w:val="Beskrivning"/>
        <w:keepNext/>
      </w:pPr>
      <w:bookmarkStart w:id="15" w:name="_Ref68161979"/>
      <w:r>
        <w:t xml:space="preserve">Tabell </w:t>
      </w:r>
      <w:r w:rsidR="003B076F">
        <w:fldChar w:fldCharType="begin"/>
      </w:r>
      <w:r w:rsidR="003B076F">
        <w:instrText xml:space="preserve"> SEQ Tabell \* ARABIC </w:instrText>
      </w:r>
      <w:r w:rsidR="003B076F">
        <w:fldChar w:fldCharType="separate"/>
      </w:r>
      <w:r w:rsidR="00875271">
        <w:rPr>
          <w:noProof/>
        </w:rPr>
        <w:t>11</w:t>
      </w:r>
      <w:r w:rsidR="003B076F">
        <w:rPr>
          <w:noProof/>
        </w:rPr>
        <w:fldChar w:fldCharType="end"/>
      </w:r>
      <w:bookmarkEnd w:id="15"/>
      <w:r>
        <w:t>. Stegsekvens för test av aFRR uppreglering.</w:t>
      </w:r>
    </w:p>
    <w:tbl>
      <w:tblPr>
        <w:tblStyle w:val="Tabellrutnt"/>
        <w:tblW w:w="0" w:type="auto"/>
        <w:tblLook w:val="04A0" w:firstRow="1" w:lastRow="0" w:firstColumn="1" w:lastColumn="0" w:noHBand="0" w:noVBand="1"/>
      </w:tblPr>
      <w:tblGrid>
        <w:gridCol w:w="2165"/>
        <w:gridCol w:w="2610"/>
        <w:gridCol w:w="2585"/>
      </w:tblGrid>
      <w:tr w:rsidR="00D971FC" w14:paraId="3C50C79F" w14:textId="77777777" w:rsidTr="00D971FC">
        <w:tc>
          <w:tcPr>
            <w:tcW w:w="2165" w:type="dxa"/>
            <w:shd w:val="clear" w:color="auto" w:fill="D9D9D9" w:themeFill="background1" w:themeFillShade="D9"/>
          </w:tcPr>
          <w:p w14:paraId="252BFF73" w14:textId="73859DAF" w:rsidR="00D971FC" w:rsidRPr="004674A7" w:rsidRDefault="00D971FC" w:rsidP="00A74E82">
            <w:pPr>
              <w:pStyle w:val="Brdtext"/>
              <w:rPr>
                <w:b/>
              </w:rPr>
            </w:pPr>
            <w:r>
              <w:rPr>
                <w:b/>
              </w:rPr>
              <w:t>Steg</w:t>
            </w:r>
          </w:p>
        </w:tc>
        <w:tc>
          <w:tcPr>
            <w:tcW w:w="2610" w:type="dxa"/>
            <w:shd w:val="clear" w:color="auto" w:fill="D9D9D9" w:themeFill="background1" w:themeFillShade="D9"/>
          </w:tcPr>
          <w:p w14:paraId="6AC5C946" w14:textId="7D865306" w:rsidR="00D971FC" w:rsidRPr="004674A7" w:rsidRDefault="00D971FC" w:rsidP="00A74E82">
            <w:pPr>
              <w:pStyle w:val="Brdtext"/>
              <w:rPr>
                <w:b/>
              </w:rPr>
            </w:pPr>
            <w:r w:rsidRPr="004674A7">
              <w:rPr>
                <w:b/>
              </w:rPr>
              <w:t>Tid [minuter]</w:t>
            </w:r>
          </w:p>
        </w:tc>
        <w:tc>
          <w:tcPr>
            <w:tcW w:w="2585" w:type="dxa"/>
            <w:shd w:val="clear" w:color="auto" w:fill="D9D9D9" w:themeFill="background1" w:themeFillShade="D9"/>
          </w:tcPr>
          <w:p w14:paraId="40C763E9" w14:textId="5919B163" w:rsidR="00D971FC" w:rsidRPr="004674A7" w:rsidRDefault="00D971FC" w:rsidP="00A74E82">
            <w:pPr>
              <w:pStyle w:val="Brdtext"/>
              <w:rPr>
                <w:b/>
              </w:rPr>
            </w:pPr>
            <w:r w:rsidRPr="004674A7">
              <w:rPr>
                <w:b/>
              </w:rPr>
              <w:t>Börvärde aFRR [MW]</w:t>
            </w:r>
          </w:p>
        </w:tc>
      </w:tr>
      <w:tr w:rsidR="00D971FC" w14:paraId="03B885E0" w14:textId="77777777" w:rsidTr="00D971FC">
        <w:tc>
          <w:tcPr>
            <w:tcW w:w="2165" w:type="dxa"/>
          </w:tcPr>
          <w:p w14:paraId="52445907" w14:textId="7AAF8296" w:rsidR="00D971FC" w:rsidRDefault="00D971FC" w:rsidP="00A74E82">
            <w:pPr>
              <w:pStyle w:val="Brdtext"/>
            </w:pPr>
            <w:r>
              <w:t>0</w:t>
            </w:r>
          </w:p>
        </w:tc>
        <w:tc>
          <w:tcPr>
            <w:tcW w:w="2610" w:type="dxa"/>
          </w:tcPr>
          <w:p w14:paraId="020700C6" w14:textId="23F39268" w:rsidR="00D971FC" w:rsidRDefault="00D971FC" w:rsidP="00A74E82">
            <w:pPr>
              <w:pStyle w:val="Brdtext"/>
            </w:pPr>
            <w:r>
              <w:t>0</w:t>
            </w:r>
          </w:p>
        </w:tc>
        <w:tc>
          <w:tcPr>
            <w:tcW w:w="2585" w:type="dxa"/>
          </w:tcPr>
          <w:p w14:paraId="61B54F85" w14:textId="3BECBA0D" w:rsidR="00D971FC" w:rsidRDefault="00D971FC" w:rsidP="00A74E82">
            <w:pPr>
              <w:pStyle w:val="Brdtext"/>
            </w:pPr>
            <w:r>
              <w:t>0</w:t>
            </w:r>
          </w:p>
        </w:tc>
      </w:tr>
      <w:tr w:rsidR="00D971FC" w14:paraId="0108ACD1" w14:textId="77777777" w:rsidTr="00D971FC">
        <w:tc>
          <w:tcPr>
            <w:tcW w:w="2165" w:type="dxa"/>
          </w:tcPr>
          <w:p w14:paraId="725D7F46" w14:textId="4E16C558" w:rsidR="00D971FC" w:rsidRDefault="00D971FC" w:rsidP="00A74E82">
            <w:pPr>
              <w:pStyle w:val="Brdtext"/>
            </w:pPr>
            <w:r>
              <w:t>1</w:t>
            </w:r>
          </w:p>
        </w:tc>
        <w:tc>
          <w:tcPr>
            <w:tcW w:w="2610" w:type="dxa"/>
          </w:tcPr>
          <w:p w14:paraId="58F4A3B6" w14:textId="231832B1" w:rsidR="00D971FC" w:rsidRDefault="00D971FC" w:rsidP="00A74E82">
            <w:pPr>
              <w:pStyle w:val="Brdtext"/>
            </w:pPr>
            <w:r>
              <w:t>5</w:t>
            </w:r>
          </w:p>
        </w:tc>
        <w:tc>
          <w:tcPr>
            <w:tcW w:w="2585" w:type="dxa"/>
          </w:tcPr>
          <w:p w14:paraId="3C3965F1" w14:textId="60AA9753" w:rsidR="00D971FC" w:rsidRDefault="00D971FC" w:rsidP="00A74E82">
            <w:pPr>
              <w:pStyle w:val="Brdtext"/>
            </w:pPr>
            <w:r>
              <w:t>1</w:t>
            </w:r>
          </w:p>
        </w:tc>
      </w:tr>
      <w:tr w:rsidR="00D971FC" w14:paraId="5BE92CFB" w14:textId="77777777" w:rsidTr="00D971FC">
        <w:tc>
          <w:tcPr>
            <w:tcW w:w="2165" w:type="dxa"/>
          </w:tcPr>
          <w:p w14:paraId="7F3C9D11" w14:textId="38B9848E" w:rsidR="00D971FC" w:rsidRDefault="00D971FC" w:rsidP="00A74E82">
            <w:pPr>
              <w:pStyle w:val="Brdtext"/>
            </w:pPr>
            <w:r>
              <w:t>2</w:t>
            </w:r>
          </w:p>
        </w:tc>
        <w:tc>
          <w:tcPr>
            <w:tcW w:w="2610" w:type="dxa"/>
          </w:tcPr>
          <w:p w14:paraId="44DA6E5F" w14:textId="07E88B82" w:rsidR="00D971FC" w:rsidRDefault="00D971FC" w:rsidP="00A74E82">
            <w:pPr>
              <w:pStyle w:val="Brdtext"/>
            </w:pPr>
            <w:r>
              <w:t>11</w:t>
            </w:r>
          </w:p>
        </w:tc>
        <w:tc>
          <w:tcPr>
            <w:tcW w:w="2585" w:type="dxa"/>
          </w:tcPr>
          <w:p w14:paraId="0AC8FEF1" w14:textId="7823E1F4" w:rsidR="00D971FC" w:rsidRDefault="00806740" w:rsidP="00A74E82">
            <w:pPr>
              <w:pStyle w:val="Brdtext"/>
            </w:pPr>
            <w:r>
              <w:t>2</w:t>
            </w:r>
            <w:r w:rsidR="00D971FC">
              <w:t>0</w:t>
            </w:r>
            <w:r w:rsidR="00DA1654">
              <w:t xml:space="preserve"> </w:t>
            </w:r>
            <w:r w:rsidR="00D971FC">
              <w:t xml:space="preserve">% av </w:t>
            </w:r>
            <w:r w:rsidR="00D971FC">
              <w:sym w:font="Symbol" w:char="F044"/>
            </w:r>
            <w:r w:rsidR="00D971FC">
              <w:t>Pmax</w:t>
            </w:r>
          </w:p>
        </w:tc>
      </w:tr>
      <w:tr w:rsidR="00D971FC" w14:paraId="50D4F226" w14:textId="77777777" w:rsidTr="00D971FC">
        <w:tc>
          <w:tcPr>
            <w:tcW w:w="2165" w:type="dxa"/>
          </w:tcPr>
          <w:p w14:paraId="04F2FF7B" w14:textId="50193B24" w:rsidR="00D971FC" w:rsidRDefault="00D971FC" w:rsidP="00A74E82">
            <w:pPr>
              <w:pStyle w:val="Brdtext"/>
            </w:pPr>
            <w:r>
              <w:t>3</w:t>
            </w:r>
          </w:p>
        </w:tc>
        <w:tc>
          <w:tcPr>
            <w:tcW w:w="2610" w:type="dxa"/>
          </w:tcPr>
          <w:p w14:paraId="1B6F7353" w14:textId="536280C6" w:rsidR="00D971FC" w:rsidRDefault="00D971FC" w:rsidP="00A74E82">
            <w:pPr>
              <w:pStyle w:val="Brdtext"/>
            </w:pPr>
            <w:r>
              <w:t>12</w:t>
            </w:r>
          </w:p>
        </w:tc>
        <w:tc>
          <w:tcPr>
            <w:tcW w:w="2585" w:type="dxa"/>
          </w:tcPr>
          <w:p w14:paraId="1DA7FE56" w14:textId="1CDD0401" w:rsidR="00D971FC" w:rsidRDefault="00806740" w:rsidP="00A74E82">
            <w:pPr>
              <w:pStyle w:val="Brdtext"/>
            </w:pPr>
            <w:r>
              <w:t>3</w:t>
            </w:r>
            <w:r w:rsidR="00D971FC">
              <w:t>0</w:t>
            </w:r>
            <w:r w:rsidR="00DA1654">
              <w:t xml:space="preserve"> </w:t>
            </w:r>
            <w:r w:rsidR="00D971FC">
              <w:t xml:space="preserve">% av </w:t>
            </w:r>
            <w:r w:rsidR="00D971FC">
              <w:sym w:font="Symbol" w:char="F044"/>
            </w:r>
            <w:r w:rsidR="00D971FC">
              <w:t>Pmax</w:t>
            </w:r>
          </w:p>
        </w:tc>
      </w:tr>
      <w:tr w:rsidR="00D971FC" w14:paraId="71AEE52F" w14:textId="77777777" w:rsidTr="00D971FC">
        <w:tc>
          <w:tcPr>
            <w:tcW w:w="2165" w:type="dxa"/>
          </w:tcPr>
          <w:p w14:paraId="1BC6C6BD" w14:textId="6808A20A" w:rsidR="00D971FC" w:rsidRDefault="00D971FC" w:rsidP="00A74E82">
            <w:pPr>
              <w:pStyle w:val="Brdtext"/>
            </w:pPr>
            <w:r>
              <w:t>4</w:t>
            </w:r>
          </w:p>
        </w:tc>
        <w:tc>
          <w:tcPr>
            <w:tcW w:w="2610" w:type="dxa"/>
          </w:tcPr>
          <w:p w14:paraId="145A6B88" w14:textId="793FB319" w:rsidR="00D971FC" w:rsidRDefault="00D971FC" w:rsidP="00A74E82">
            <w:pPr>
              <w:pStyle w:val="Brdtext"/>
            </w:pPr>
            <w:r>
              <w:t>13</w:t>
            </w:r>
          </w:p>
        </w:tc>
        <w:tc>
          <w:tcPr>
            <w:tcW w:w="2585" w:type="dxa"/>
          </w:tcPr>
          <w:p w14:paraId="6BDBFE12" w14:textId="2B43FE1C" w:rsidR="00D971FC" w:rsidRDefault="00D971FC" w:rsidP="00A74E82">
            <w:pPr>
              <w:pStyle w:val="Brdtext"/>
            </w:pPr>
            <w:r>
              <w:t>50</w:t>
            </w:r>
            <w:r w:rsidR="00DA1654">
              <w:t xml:space="preserve"> </w:t>
            </w:r>
            <w:r>
              <w:t xml:space="preserve">% av </w:t>
            </w:r>
            <w:r>
              <w:sym w:font="Symbol" w:char="F044"/>
            </w:r>
            <w:r>
              <w:t>Pmax</w:t>
            </w:r>
          </w:p>
        </w:tc>
      </w:tr>
      <w:tr w:rsidR="00D971FC" w14:paraId="2D48760B" w14:textId="77777777" w:rsidTr="00D971FC">
        <w:tc>
          <w:tcPr>
            <w:tcW w:w="2165" w:type="dxa"/>
          </w:tcPr>
          <w:p w14:paraId="586A7C67" w14:textId="5C8F4B88" w:rsidR="00D971FC" w:rsidRDefault="00D971FC" w:rsidP="00A74E82">
            <w:pPr>
              <w:pStyle w:val="Brdtext"/>
            </w:pPr>
            <w:r>
              <w:t>5</w:t>
            </w:r>
          </w:p>
        </w:tc>
        <w:tc>
          <w:tcPr>
            <w:tcW w:w="2610" w:type="dxa"/>
          </w:tcPr>
          <w:p w14:paraId="5D9B2499" w14:textId="33C2EF7E" w:rsidR="00D971FC" w:rsidRDefault="00D971FC" w:rsidP="00A74E82">
            <w:pPr>
              <w:pStyle w:val="Brdtext"/>
            </w:pPr>
            <w:r>
              <w:t>19</w:t>
            </w:r>
          </w:p>
        </w:tc>
        <w:tc>
          <w:tcPr>
            <w:tcW w:w="2585" w:type="dxa"/>
          </w:tcPr>
          <w:p w14:paraId="23D7EA69" w14:textId="2744898E" w:rsidR="00D971FC" w:rsidRDefault="00806740" w:rsidP="00A74E82">
            <w:pPr>
              <w:pStyle w:val="Brdtext"/>
            </w:pPr>
            <w:r>
              <w:t>3</w:t>
            </w:r>
            <w:r w:rsidR="00D971FC">
              <w:t>0</w:t>
            </w:r>
            <w:r w:rsidR="00DA1654">
              <w:t xml:space="preserve"> </w:t>
            </w:r>
            <w:r w:rsidR="00D971FC">
              <w:t xml:space="preserve">% av </w:t>
            </w:r>
            <w:r w:rsidR="00D971FC">
              <w:sym w:font="Symbol" w:char="F044"/>
            </w:r>
            <w:r w:rsidR="00D971FC">
              <w:t>Pmax</w:t>
            </w:r>
          </w:p>
        </w:tc>
      </w:tr>
      <w:tr w:rsidR="00D971FC" w14:paraId="2DFF27AC" w14:textId="77777777" w:rsidTr="00D971FC">
        <w:tc>
          <w:tcPr>
            <w:tcW w:w="2165" w:type="dxa"/>
          </w:tcPr>
          <w:p w14:paraId="3814EBB7" w14:textId="434F6DDE" w:rsidR="00D971FC" w:rsidRDefault="00D971FC" w:rsidP="00A74E82">
            <w:pPr>
              <w:pStyle w:val="Brdtext"/>
            </w:pPr>
            <w:r>
              <w:t>6</w:t>
            </w:r>
          </w:p>
        </w:tc>
        <w:tc>
          <w:tcPr>
            <w:tcW w:w="2610" w:type="dxa"/>
          </w:tcPr>
          <w:p w14:paraId="4FE54ACD" w14:textId="08336E23" w:rsidR="00D971FC" w:rsidRDefault="00D971FC" w:rsidP="00A74E82">
            <w:pPr>
              <w:pStyle w:val="Brdtext"/>
            </w:pPr>
            <w:r>
              <w:t>20</w:t>
            </w:r>
          </w:p>
        </w:tc>
        <w:tc>
          <w:tcPr>
            <w:tcW w:w="2585" w:type="dxa"/>
          </w:tcPr>
          <w:p w14:paraId="2A738D44" w14:textId="67D98A7D" w:rsidR="00D971FC" w:rsidRDefault="00806740" w:rsidP="00380371">
            <w:pPr>
              <w:pStyle w:val="Brdtext"/>
            </w:pPr>
            <w:r>
              <w:t>2</w:t>
            </w:r>
            <w:r w:rsidR="00D971FC">
              <w:t>0</w:t>
            </w:r>
            <w:r w:rsidR="00DA1654">
              <w:t xml:space="preserve"> </w:t>
            </w:r>
            <w:r w:rsidR="00D971FC">
              <w:t xml:space="preserve">% av </w:t>
            </w:r>
            <w:r w:rsidR="00D971FC">
              <w:sym w:font="Symbol" w:char="F044"/>
            </w:r>
            <w:r w:rsidR="00D971FC">
              <w:t>Pmax</w:t>
            </w:r>
          </w:p>
        </w:tc>
      </w:tr>
      <w:tr w:rsidR="00D971FC" w14:paraId="0D9A99E4" w14:textId="77777777" w:rsidTr="00D971FC">
        <w:tc>
          <w:tcPr>
            <w:tcW w:w="2165" w:type="dxa"/>
          </w:tcPr>
          <w:p w14:paraId="3E277935" w14:textId="113D989F" w:rsidR="00D971FC" w:rsidRDefault="00D971FC" w:rsidP="00A74E82">
            <w:pPr>
              <w:pStyle w:val="Brdtext"/>
            </w:pPr>
            <w:r>
              <w:t>7</w:t>
            </w:r>
          </w:p>
        </w:tc>
        <w:tc>
          <w:tcPr>
            <w:tcW w:w="2610" w:type="dxa"/>
          </w:tcPr>
          <w:p w14:paraId="30A1AD47" w14:textId="15A38B66" w:rsidR="00D971FC" w:rsidRDefault="00D971FC" w:rsidP="00A74E82">
            <w:pPr>
              <w:pStyle w:val="Brdtext"/>
            </w:pPr>
            <w:r>
              <w:t>21</w:t>
            </w:r>
          </w:p>
        </w:tc>
        <w:tc>
          <w:tcPr>
            <w:tcW w:w="2585" w:type="dxa"/>
          </w:tcPr>
          <w:p w14:paraId="458154AF" w14:textId="5820659E" w:rsidR="00D971FC" w:rsidRDefault="00D971FC" w:rsidP="00A74E82">
            <w:pPr>
              <w:pStyle w:val="Brdtext"/>
            </w:pPr>
            <w:r>
              <w:t>1</w:t>
            </w:r>
          </w:p>
        </w:tc>
      </w:tr>
      <w:tr w:rsidR="00D971FC" w14:paraId="11B15784" w14:textId="77777777" w:rsidTr="00D971FC">
        <w:tc>
          <w:tcPr>
            <w:tcW w:w="2165" w:type="dxa"/>
          </w:tcPr>
          <w:p w14:paraId="40F9200B" w14:textId="4DD63C03" w:rsidR="00D971FC" w:rsidRDefault="00D971FC" w:rsidP="00A74E82">
            <w:pPr>
              <w:pStyle w:val="Brdtext"/>
            </w:pPr>
            <w:r>
              <w:t>8</w:t>
            </w:r>
          </w:p>
        </w:tc>
        <w:tc>
          <w:tcPr>
            <w:tcW w:w="2610" w:type="dxa"/>
          </w:tcPr>
          <w:p w14:paraId="7F0E6AE9" w14:textId="0B61C617" w:rsidR="00D971FC" w:rsidRDefault="00D971FC" w:rsidP="00A74E82">
            <w:pPr>
              <w:pStyle w:val="Brdtext"/>
            </w:pPr>
            <w:r>
              <w:t>27</w:t>
            </w:r>
          </w:p>
        </w:tc>
        <w:tc>
          <w:tcPr>
            <w:tcW w:w="2585" w:type="dxa"/>
          </w:tcPr>
          <w:p w14:paraId="6728577D" w14:textId="7AE64386" w:rsidR="00D971FC" w:rsidRDefault="00D971FC" w:rsidP="00A74E82">
            <w:pPr>
              <w:pStyle w:val="Brdtext"/>
            </w:pPr>
            <w:r>
              <w:t>0</w:t>
            </w:r>
          </w:p>
        </w:tc>
      </w:tr>
      <w:tr w:rsidR="00D971FC" w14:paraId="78B2877E" w14:textId="77777777" w:rsidTr="00D971FC">
        <w:tc>
          <w:tcPr>
            <w:tcW w:w="2165" w:type="dxa"/>
          </w:tcPr>
          <w:p w14:paraId="68C9CC4A" w14:textId="7DE5048D" w:rsidR="00D971FC" w:rsidRDefault="00D971FC" w:rsidP="00A74E82">
            <w:pPr>
              <w:pStyle w:val="Brdtext"/>
            </w:pPr>
            <w:r>
              <w:lastRenderedPageBreak/>
              <w:t>9</w:t>
            </w:r>
          </w:p>
        </w:tc>
        <w:tc>
          <w:tcPr>
            <w:tcW w:w="2610" w:type="dxa"/>
          </w:tcPr>
          <w:p w14:paraId="13B81BE3" w14:textId="304F2EF9" w:rsidR="00D971FC" w:rsidRDefault="00D971FC" w:rsidP="00A74E82">
            <w:pPr>
              <w:pStyle w:val="Brdtext"/>
            </w:pPr>
            <w:r>
              <w:t>33</w:t>
            </w:r>
          </w:p>
        </w:tc>
        <w:tc>
          <w:tcPr>
            <w:tcW w:w="2585" w:type="dxa"/>
          </w:tcPr>
          <w:p w14:paraId="19129388" w14:textId="3FBA4EC7" w:rsidR="00D971FC" w:rsidRDefault="00D971FC" w:rsidP="00A74E82">
            <w:pPr>
              <w:pStyle w:val="Brdtext"/>
            </w:pPr>
            <w:r>
              <w:t>50</w:t>
            </w:r>
            <w:r w:rsidR="00DA1654">
              <w:t xml:space="preserve"> </w:t>
            </w:r>
            <w:r>
              <w:t xml:space="preserve">% av </w:t>
            </w:r>
            <w:r>
              <w:sym w:font="Symbol" w:char="F044"/>
            </w:r>
            <w:r>
              <w:t>Pmax</w:t>
            </w:r>
          </w:p>
        </w:tc>
      </w:tr>
      <w:tr w:rsidR="00D971FC" w14:paraId="37C62A61" w14:textId="77777777" w:rsidTr="00D971FC">
        <w:tc>
          <w:tcPr>
            <w:tcW w:w="2165" w:type="dxa"/>
          </w:tcPr>
          <w:p w14:paraId="783153BC" w14:textId="28406654" w:rsidR="00D971FC" w:rsidRDefault="00D971FC" w:rsidP="00A74E82">
            <w:pPr>
              <w:pStyle w:val="Brdtext"/>
            </w:pPr>
            <w:r>
              <w:t>10</w:t>
            </w:r>
          </w:p>
        </w:tc>
        <w:tc>
          <w:tcPr>
            <w:tcW w:w="2610" w:type="dxa"/>
          </w:tcPr>
          <w:p w14:paraId="1E8E488C" w14:textId="20AF17D0" w:rsidR="00D971FC" w:rsidRDefault="00D971FC" w:rsidP="00A74E82">
            <w:pPr>
              <w:pStyle w:val="Brdtext"/>
            </w:pPr>
            <w:r>
              <w:t>39</w:t>
            </w:r>
          </w:p>
        </w:tc>
        <w:tc>
          <w:tcPr>
            <w:tcW w:w="2585" w:type="dxa"/>
          </w:tcPr>
          <w:p w14:paraId="5381DB48" w14:textId="7DF8782A" w:rsidR="00D971FC" w:rsidRDefault="00D971FC" w:rsidP="00A74E82">
            <w:pPr>
              <w:pStyle w:val="Brdtext"/>
            </w:pPr>
            <w:r>
              <w:t>0</w:t>
            </w:r>
          </w:p>
        </w:tc>
      </w:tr>
      <w:tr w:rsidR="00D971FC" w14:paraId="46F0DC8D" w14:textId="77777777" w:rsidTr="00D971FC">
        <w:tc>
          <w:tcPr>
            <w:tcW w:w="2165" w:type="dxa"/>
          </w:tcPr>
          <w:p w14:paraId="4C22614C" w14:textId="497D2B1E" w:rsidR="00D971FC" w:rsidRDefault="00D971FC" w:rsidP="00A74E82">
            <w:pPr>
              <w:pStyle w:val="Brdtext"/>
            </w:pPr>
            <w:r>
              <w:t>11</w:t>
            </w:r>
          </w:p>
        </w:tc>
        <w:tc>
          <w:tcPr>
            <w:tcW w:w="2610" w:type="dxa"/>
          </w:tcPr>
          <w:p w14:paraId="60CA295D" w14:textId="176656F3" w:rsidR="00D971FC" w:rsidRDefault="00D971FC" w:rsidP="00A74E82">
            <w:pPr>
              <w:pStyle w:val="Brdtext"/>
            </w:pPr>
            <w:r>
              <w:t>45</w:t>
            </w:r>
          </w:p>
        </w:tc>
        <w:tc>
          <w:tcPr>
            <w:tcW w:w="2585" w:type="dxa"/>
          </w:tcPr>
          <w:p w14:paraId="46A1C434" w14:textId="4A9AE36A" w:rsidR="00D971FC" w:rsidRDefault="00D971FC" w:rsidP="00A74E82">
            <w:pPr>
              <w:pStyle w:val="Brdtext"/>
            </w:pPr>
            <w:r>
              <w:t>100</w:t>
            </w:r>
            <w:r w:rsidR="00DA1654">
              <w:t xml:space="preserve"> </w:t>
            </w:r>
            <w:r>
              <w:t xml:space="preserve">% av </w:t>
            </w:r>
            <w:r>
              <w:sym w:font="Symbol" w:char="F044"/>
            </w:r>
            <w:r>
              <w:t>Pmax</w:t>
            </w:r>
          </w:p>
        </w:tc>
      </w:tr>
      <w:tr w:rsidR="00D971FC" w14:paraId="11865E15" w14:textId="77777777" w:rsidTr="00D971FC">
        <w:tc>
          <w:tcPr>
            <w:tcW w:w="2165" w:type="dxa"/>
          </w:tcPr>
          <w:p w14:paraId="14E5B052" w14:textId="74188883" w:rsidR="00D971FC" w:rsidRDefault="00D971FC" w:rsidP="00A74E82">
            <w:pPr>
              <w:pStyle w:val="Brdtext"/>
            </w:pPr>
            <w:r>
              <w:t>12</w:t>
            </w:r>
          </w:p>
        </w:tc>
        <w:tc>
          <w:tcPr>
            <w:tcW w:w="2610" w:type="dxa"/>
          </w:tcPr>
          <w:p w14:paraId="1A84550E" w14:textId="5DFB8337" w:rsidR="00D971FC" w:rsidRDefault="00D971FC" w:rsidP="00A74E82">
            <w:pPr>
              <w:pStyle w:val="Brdtext"/>
            </w:pPr>
            <w:r>
              <w:t>51</w:t>
            </w:r>
          </w:p>
        </w:tc>
        <w:tc>
          <w:tcPr>
            <w:tcW w:w="2585" w:type="dxa"/>
          </w:tcPr>
          <w:p w14:paraId="61BFAE16" w14:textId="45934DAB" w:rsidR="00D971FC" w:rsidRDefault="00D971FC" w:rsidP="00A74E82">
            <w:pPr>
              <w:pStyle w:val="Brdtext"/>
            </w:pPr>
            <w:r>
              <w:t>0</w:t>
            </w:r>
          </w:p>
        </w:tc>
      </w:tr>
    </w:tbl>
    <w:p w14:paraId="171BEB5E" w14:textId="36A1F4A1" w:rsidR="00C620BD" w:rsidRDefault="00C620BD" w:rsidP="00A74E82">
      <w:pPr>
        <w:pStyle w:val="Brdtext"/>
      </w:pPr>
    </w:p>
    <w:p w14:paraId="7E328573" w14:textId="42865B3D" w:rsidR="00C620BD" w:rsidRDefault="00C620BD" w:rsidP="00A74E82">
      <w:pPr>
        <w:pStyle w:val="Brdtext"/>
      </w:pPr>
      <w:r>
        <w:t xml:space="preserve">Efter att enheten eller gruppen genomgått ovanstående sekvens </w:t>
      </w:r>
      <w:r w:rsidR="007518CD">
        <w:t>beräknas</w:t>
      </w:r>
      <w:r>
        <w:t xml:space="preserve"> </w:t>
      </w:r>
      <w:r w:rsidR="00F97B80">
        <w:t xml:space="preserve">aktiveringstiden </w:t>
      </w:r>
      <w:r>
        <w:t xml:space="preserve">(FAT) för uppreglering </w:t>
      </w:r>
      <w:r w:rsidR="00302858">
        <w:t>enligt nedanstående formel</w:t>
      </w:r>
      <w:r>
        <w:t>:</w:t>
      </w:r>
    </w:p>
    <w:p w14:paraId="4A574650" w14:textId="04BAC7AB" w:rsidR="00C620BD" w:rsidRPr="007518CD" w:rsidRDefault="00C620BD" w:rsidP="00A74E82">
      <w:pPr>
        <w:pStyle w:val="Brdtext"/>
      </w:pPr>
      <m:oMathPara>
        <m:oMath>
          <m:r>
            <w:rPr>
              <w:rFonts w:ascii="Cambria Math" w:hAnsi="Cambria Math"/>
            </w:rPr>
            <m:t>FAT=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steg 1</m:t>
                      </m:r>
                    </m:sub>
                  </m:sSub>
                  <m: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steg 4</m:t>
                      </m:r>
                    </m:sub>
                  </m:sSub>
                  <m: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 xml:space="preserve">steg 7, </m:t>
                      </m:r>
                    </m:sub>
                  </m:sSub>
                  <m: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steg 8</m:t>
                      </m:r>
                    </m:sub>
                  </m:sSub>
                  <m:r>
                    <w:rPr>
                      <w:rFonts w:ascii="Cambria Math" w:hAnsi="Cambria Math"/>
                    </w:rPr>
                    <m:t>,…, Δ</m:t>
                  </m:r>
                  <m:sSub>
                    <m:sSubPr>
                      <m:ctrlPr>
                        <w:rPr>
                          <w:rFonts w:ascii="Cambria Math" w:hAnsi="Cambria Math"/>
                          <w:i/>
                        </w:rPr>
                      </m:ctrlPr>
                    </m:sSubPr>
                    <m:e>
                      <m:r>
                        <w:rPr>
                          <w:rFonts w:ascii="Cambria Math" w:hAnsi="Cambria Math"/>
                        </w:rPr>
                        <m:t>t</m:t>
                      </m:r>
                    </m:e>
                    <m:sub>
                      <m:r>
                        <w:rPr>
                          <w:rFonts w:ascii="Cambria Math" w:hAnsi="Cambria Math"/>
                        </w:rPr>
                        <m:t>steg 12</m:t>
                      </m:r>
                    </m:sub>
                  </m:sSub>
                </m:e>
              </m:d>
            </m:e>
          </m:func>
          <m:r>
            <w:rPr>
              <w:rFonts w:ascii="Cambria Math" w:hAnsi="Cambria Math"/>
            </w:rPr>
            <m:t>+reaktionstid</m:t>
          </m:r>
        </m:oMath>
      </m:oMathPara>
    </w:p>
    <w:p w14:paraId="5AA0E93C" w14:textId="372543CE" w:rsidR="004B7B12" w:rsidRDefault="007518CD" w:rsidP="004B7B12">
      <w:pPr>
        <w:pStyle w:val="Brdtext"/>
      </w:pPr>
      <w:r>
        <w:t xml:space="preserve">Där </w:t>
      </w:r>
      <m:oMath>
        <m:r>
          <m:rPr>
            <m:sty m:val="p"/>
          </m:rPr>
          <w:rPr>
            <w:rFonts w:ascii="Cambria Math" w:hAnsi="Cambria Math"/>
          </w:rPr>
          <m:t>Δt</m:t>
        </m:r>
      </m:oMath>
      <w:r>
        <w:t xml:space="preserve"> är tiden det tar från och med att </w:t>
      </w:r>
      <w:r w:rsidR="003F0867">
        <w:t xml:space="preserve">enheten eller gruppen börjar aktivera enligt det nya börvärdet </w:t>
      </w:r>
      <w:r>
        <w:t xml:space="preserve">till dess att </w:t>
      </w:r>
      <w:r w:rsidR="003F0867">
        <w:t>den</w:t>
      </w:r>
      <w:r w:rsidR="00DD40BC">
        <w:t xml:space="preserve"> levererar enligt börvärde</w:t>
      </w:r>
      <w:r w:rsidR="00BB147B">
        <w:t>t</w:t>
      </w:r>
      <w:r w:rsidR="00DD40BC">
        <w:t>.</w:t>
      </w:r>
      <w:r w:rsidR="00E50B60">
        <w:t xml:space="preserve"> </w:t>
      </w:r>
      <w:r w:rsidR="003F0867">
        <w:t xml:space="preserve">Reaktionstiden fastställs som en del av signaltestet </w:t>
      </w:r>
      <w:r w:rsidR="002C564B">
        <w:t>(se 4.1</w:t>
      </w:r>
      <w:r w:rsidR="003F0867">
        <w:t>)</w:t>
      </w:r>
    </w:p>
    <w:p w14:paraId="3FF499F2" w14:textId="1FB0EE62" w:rsidR="0096728A" w:rsidRDefault="005E09D9" w:rsidP="0096728A">
      <w:pPr>
        <w:pStyle w:val="Rubrik3"/>
      </w:pPr>
      <w:r>
        <w:t>4</w:t>
      </w:r>
      <w:r w:rsidR="0096728A">
        <w:t>.2.2 Nedreglering</w:t>
      </w:r>
    </w:p>
    <w:p w14:paraId="5DF7FAD5" w14:textId="31E5B174" w:rsidR="00F459EB" w:rsidRDefault="00381A09" w:rsidP="006E5727">
      <w:pPr>
        <w:pStyle w:val="Brdtext"/>
      </w:pPr>
      <w:r>
        <w:t>Aktören</w:t>
      </w:r>
      <w:r w:rsidR="0096728A">
        <w:t xml:space="preserve"> kommer under test att skicka en sekvens av börvärdesförändringar för aFRR till enheten eller gruppen som ska bidra med aFRR. </w:t>
      </w:r>
      <w:r w:rsidR="00F459EB">
        <w:t xml:space="preserve">Sekvensen för nedreglering visas i </w:t>
      </w:r>
      <w:r w:rsidR="00F459EB">
        <w:fldChar w:fldCharType="begin"/>
      </w:r>
      <w:r w:rsidR="00F459EB">
        <w:instrText xml:space="preserve"> REF _Ref59553619 \h </w:instrText>
      </w:r>
      <w:r w:rsidR="00F459EB">
        <w:fldChar w:fldCharType="separate"/>
      </w:r>
      <w:r w:rsidR="00EA2A1C">
        <w:t xml:space="preserve">Figur </w:t>
      </w:r>
      <w:r w:rsidR="00EA2A1C">
        <w:rPr>
          <w:iCs/>
          <w:noProof/>
        </w:rPr>
        <w:t>4</w:t>
      </w:r>
      <w:r w:rsidR="00F459EB">
        <w:fldChar w:fldCharType="end"/>
      </w:r>
      <w:r w:rsidR="00F459EB">
        <w:t xml:space="preserve"> och</w:t>
      </w:r>
      <w:r w:rsidR="00A8669A">
        <w:t xml:space="preserve"> </w:t>
      </w:r>
      <w:r w:rsidR="00A8669A">
        <w:fldChar w:fldCharType="begin"/>
      </w:r>
      <w:r w:rsidR="00A8669A">
        <w:instrText xml:space="preserve"> REF _Ref68162014 \h </w:instrText>
      </w:r>
      <w:r w:rsidR="00A8669A">
        <w:fldChar w:fldCharType="separate"/>
      </w:r>
      <w:r w:rsidR="00161E96">
        <w:t xml:space="preserve">Tabell </w:t>
      </w:r>
      <w:r w:rsidR="00161E96">
        <w:rPr>
          <w:noProof/>
        </w:rPr>
        <w:t>12</w:t>
      </w:r>
      <w:r w:rsidR="00A8669A">
        <w:fldChar w:fldCharType="end"/>
      </w:r>
      <w:r w:rsidR="00F459EB">
        <w:t>.</w:t>
      </w:r>
      <w:r w:rsidR="00F97B80">
        <w:t xml:space="preserve"> I testet avrundas stegen om 20 %, 30 % och 50 % </w:t>
      </w:r>
      <w:r w:rsidR="001D0260">
        <w:t xml:space="preserve">nedåt </w:t>
      </w:r>
      <w:r w:rsidR="00F97B80">
        <w:t xml:space="preserve">till närmsta heltal. </w:t>
      </w:r>
      <w:r w:rsidR="00DD40BC">
        <w:t xml:space="preserve">Om ansökan avser en maxkapacitet aFRR &lt; 10 MW anpassas sekvensen, se </w:t>
      </w:r>
      <w:r w:rsidR="00E84903">
        <w:t>Bilaga 1</w:t>
      </w:r>
      <w:r w:rsidR="00DD40BC">
        <w:t>.</w:t>
      </w:r>
    </w:p>
    <w:p w14:paraId="1A93BB58" w14:textId="4746DEFC" w:rsidR="00C81B97" w:rsidRDefault="00592596" w:rsidP="00BE6F66">
      <w:pPr>
        <w:pStyle w:val="Brdtext"/>
        <w:keepNext/>
        <w:jc w:val="center"/>
      </w:pPr>
      <w:r>
        <w:pict w14:anchorId="5BA47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2pt;height:239.85pt">
            <v:imagedata r:id="rId18" o:title="Kapacitetstest nedreglering"/>
          </v:shape>
        </w:pict>
      </w:r>
    </w:p>
    <w:p w14:paraId="73AB518B" w14:textId="19C29A6B" w:rsidR="00F459EB" w:rsidRDefault="00F459EB" w:rsidP="006E5727">
      <w:pPr>
        <w:pStyle w:val="Beskrivning"/>
        <w:jc w:val="center"/>
      </w:pPr>
      <w:bookmarkStart w:id="16" w:name="_Ref59553619"/>
      <w:r>
        <w:t xml:space="preserve">Figur </w:t>
      </w:r>
      <w:r w:rsidR="003B3BE2">
        <w:rPr>
          <w:iCs w:val="0"/>
        </w:rPr>
        <w:fldChar w:fldCharType="begin"/>
      </w:r>
      <w:r w:rsidR="003B3BE2">
        <w:rPr>
          <w:iCs w:val="0"/>
        </w:rPr>
        <w:instrText xml:space="preserve"> SEQ Figur \* ARABIC </w:instrText>
      </w:r>
      <w:r w:rsidR="003B3BE2">
        <w:rPr>
          <w:iCs w:val="0"/>
        </w:rPr>
        <w:fldChar w:fldCharType="separate"/>
      </w:r>
      <w:r w:rsidR="00EA2A1C">
        <w:rPr>
          <w:iCs w:val="0"/>
          <w:noProof/>
        </w:rPr>
        <w:t>4</w:t>
      </w:r>
      <w:r w:rsidR="003B3BE2">
        <w:rPr>
          <w:iCs w:val="0"/>
          <w:noProof/>
        </w:rPr>
        <w:fldChar w:fldCharType="end"/>
      </w:r>
      <w:bookmarkEnd w:id="16"/>
      <w:r>
        <w:t>.</w:t>
      </w:r>
      <w:r w:rsidR="00302858">
        <w:t xml:space="preserve"> Stegsekvens för test av aFRR nedreglering.</w:t>
      </w:r>
    </w:p>
    <w:p w14:paraId="2755C874" w14:textId="03810E34" w:rsidR="00A8669A" w:rsidRDefault="00A8669A" w:rsidP="006E5727">
      <w:pPr>
        <w:pStyle w:val="Beskrivning"/>
        <w:keepNext/>
      </w:pPr>
      <w:bookmarkStart w:id="17" w:name="_Ref68162014"/>
      <w:r>
        <w:lastRenderedPageBreak/>
        <w:t xml:space="preserve">Tabell </w:t>
      </w:r>
      <w:r w:rsidR="003B076F">
        <w:fldChar w:fldCharType="begin"/>
      </w:r>
      <w:r w:rsidR="003B076F">
        <w:instrText xml:space="preserve"> SEQ Tabell \* ARABIC </w:instrText>
      </w:r>
      <w:r w:rsidR="003B076F">
        <w:fldChar w:fldCharType="separate"/>
      </w:r>
      <w:r w:rsidR="00875271">
        <w:rPr>
          <w:noProof/>
        </w:rPr>
        <w:t>12</w:t>
      </w:r>
      <w:r w:rsidR="003B076F">
        <w:rPr>
          <w:noProof/>
        </w:rPr>
        <w:fldChar w:fldCharType="end"/>
      </w:r>
      <w:bookmarkEnd w:id="17"/>
      <w:r>
        <w:t>. Stegsekvens för test av aFRR nedreglering.</w:t>
      </w:r>
    </w:p>
    <w:tbl>
      <w:tblPr>
        <w:tblStyle w:val="Tabellrutnt"/>
        <w:tblW w:w="0" w:type="auto"/>
        <w:tblLook w:val="04A0" w:firstRow="1" w:lastRow="0" w:firstColumn="1" w:lastColumn="0" w:noHBand="0" w:noVBand="1"/>
      </w:tblPr>
      <w:tblGrid>
        <w:gridCol w:w="2165"/>
        <w:gridCol w:w="2610"/>
        <w:gridCol w:w="2585"/>
      </w:tblGrid>
      <w:tr w:rsidR="004B7B12" w14:paraId="0A8F9EA5" w14:textId="77777777" w:rsidTr="005E4AB9">
        <w:tc>
          <w:tcPr>
            <w:tcW w:w="2165" w:type="dxa"/>
            <w:shd w:val="clear" w:color="auto" w:fill="D9D9D9" w:themeFill="background1" w:themeFillShade="D9"/>
          </w:tcPr>
          <w:p w14:paraId="441BD12E" w14:textId="77777777" w:rsidR="004B7B12" w:rsidRPr="004674A7" w:rsidRDefault="004B7B12" w:rsidP="005E4AB9">
            <w:pPr>
              <w:pStyle w:val="Brdtext"/>
              <w:rPr>
                <w:b/>
              </w:rPr>
            </w:pPr>
            <w:r>
              <w:rPr>
                <w:b/>
              </w:rPr>
              <w:t>Steg</w:t>
            </w:r>
          </w:p>
        </w:tc>
        <w:tc>
          <w:tcPr>
            <w:tcW w:w="2610" w:type="dxa"/>
            <w:shd w:val="clear" w:color="auto" w:fill="D9D9D9" w:themeFill="background1" w:themeFillShade="D9"/>
          </w:tcPr>
          <w:p w14:paraId="7A34AADF" w14:textId="77777777" w:rsidR="004B7B12" w:rsidRPr="004674A7" w:rsidRDefault="004B7B12" w:rsidP="005E4AB9">
            <w:pPr>
              <w:pStyle w:val="Brdtext"/>
              <w:rPr>
                <w:b/>
              </w:rPr>
            </w:pPr>
            <w:r w:rsidRPr="004674A7">
              <w:rPr>
                <w:b/>
              </w:rPr>
              <w:t>Tid [minuter]</w:t>
            </w:r>
          </w:p>
        </w:tc>
        <w:tc>
          <w:tcPr>
            <w:tcW w:w="2585" w:type="dxa"/>
            <w:shd w:val="clear" w:color="auto" w:fill="D9D9D9" w:themeFill="background1" w:themeFillShade="D9"/>
          </w:tcPr>
          <w:p w14:paraId="518C330F" w14:textId="77777777" w:rsidR="004B7B12" w:rsidRPr="004674A7" w:rsidRDefault="004B7B12" w:rsidP="005E4AB9">
            <w:pPr>
              <w:pStyle w:val="Brdtext"/>
              <w:rPr>
                <w:b/>
              </w:rPr>
            </w:pPr>
            <w:r w:rsidRPr="004674A7">
              <w:rPr>
                <w:b/>
              </w:rPr>
              <w:t>Börvärde aFRR [MW]</w:t>
            </w:r>
          </w:p>
        </w:tc>
      </w:tr>
      <w:tr w:rsidR="004B7B12" w14:paraId="15816EFF" w14:textId="77777777" w:rsidTr="005E4AB9">
        <w:tc>
          <w:tcPr>
            <w:tcW w:w="2165" w:type="dxa"/>
          </w:tcPr>
          <w:p w14:paraId="42C5CB66" w14:textId="77777777" w:rsidR="004B7B12" w:rsidRDefault="004B7B12" w:rsidP="005E4AB9">
            <w:pPr>
              <w:pStyle w:val="Brdtext"/>
            </w:pPr>
            <w:r>
              <w:t>0</w:t>
            </w:r>
          </w:p>
        </w:tc>
        <w:tc>
          <w:tcPr>
            <w:tcW w:w="2610" w:type="dxa"/>
          </w:tcPr>
          <w:p w14:paraId="3918EF62" w14:textId="77777777" w:rsidR="004B7B12" w:rsidRDefault="004B7B12" w:rsidP="005E4AB9">
            <w:pPr>
              <w:pStyle w:val="Brdtext"/>
            </w:pPr>
            <w:r>
              <w:t>0</w:t>
            </w:r>
          </w:p>
        </w:tc>
        <w:tc>
          <w:tcPr>
            <w:tcW w:w="2585" w:type="dxa"/>
          </w:tcPr>
          <w:p w14:paraId="0CA44897" w14:textId="77777777" w:rsidR="004B7B12" w:rsidRDefault="004B7B12" w:rsidP="005E4AB9">
            <w:pPr>
              <w:pStyle w:val="Brdtext"/>
            </w:pPr>
            <w:r>
              <w:t>0</w:t>
            </w:r>
          </w:p>
        </w:tc>
      </w:tr>
      <w:tr w:rsidR="004B7B12" w14:paraId="595B4369" w14:textId="77777777" w:rsidTr="005E4AB9">
        <w:tc>
          <w:tcPr>
            <w:tcW w:w="2165" w:type="dxa"/>
          </w:tcPr>
          <w:p w14:paraId="218BF193" w14:textId="77777777" w:rsidR="004B7B12" w:rsidRDefault="004B7B12" w:rsidP="005E4AB9">
            <w:pPr>
              <w:pStyle w:val="Brdtext"/>
            </w:pPr>
            <w:r>
              <w:t>1</w:t>
            </w:r>
          </w:p>
        </w:tc>
        <w:tc>
          <w:tcPr>
            <w:tcW w:w="2610" w:type="dxa"/>
          </w:tcPr>
          <w:p w14:paraId="10BF4C14" w14:textId="77777777" w:rsidR="004B7B12" w:rsidRDefault="004B7B12" w:rsidP="005E4AB9">
            <w:pPr>
              <w:pStyle w:val="Brdtext"/>
            </w:pPr>
            <w:r>
              <w:t>5</w:t>
            </w:r>
          </w:p>
        </w:tc>
        <w:tc>
          <w:tcPr>
            <w:tcW w:w="2585" w:type="dxa"/>
          </w:tcPr>
          <w:p w14:paraId="15D64D2C" w14:textId="1B52D6AB" w:rsidR="004B7B12" w:rsidRDefault="00746A4F" w:rsidP="005E4AB9">
            <w:pPr>
              <w:pStyle w:val="Brdtext"/>
            </w:pPr>
            <w:r>
              <w:t>-</w:t>
            </w:r>
            <w:r w:rsidR="004B7B12">
              <w:t>1</w:t>
            </w:r>
          </w:p>
        </w:tc>
      </w:tr>
      <w:tr w:rsidR="004B7B12" w14:paraId="4956E5DE" w14:textId="77777777" w:rsidTr="005E4AB9">
        <w:tc>
          <w:tcPr>
            <w:tcW w:w="2165" w:type="dxa"/>
          </w:tcPr>
          <w:p w14:paraId="1D35F65A" w14:textId="77777777" w:rsidR="004B7B12" w:rsidRDefault="004B7B12" w:rsidP="005E4AB9">
            <w:pPr>
              <w:pStyle w:val="Brdtext"/>
            </w:pPr>
            <w:r>
              <w:t>2</w:t>
            </w:r>
          </w:p>
        </w:tc>
        <w:tc>
          <w:tcPr>
            <w:tcW w:w="2610" w:type="dxa"/>
          </w:tcPr>
          <w:p w14:paraId="3A38A10E" w14:textId="77777777" w:rsidR="004B7B12" w:rsidRDefault="004B7B12" w:rsidP="005E4AB9">
            <w:pPr>
              <w:pStyle w:val="Brdtext"/>
            </w:pPr>
            <w:r>
              <w:t>11</w:t>
            </w:r>
          </w:p>
        </w:tc>
        <w:tc>
          <w:tcPr>
            <w:tcW w:w="2585" w:type="dxa"/>
          </w:tcPr>
          <w:p w14:paraId="29875F11" w14:textId="37B03A5B" w:rsidR="004B7B12" w:rsidRDefault="00DD40BC" w:rsidP="005E4AB9">
            <w:pPr>
              <w:pStyle w:val="Brdtext"/>
            </w:pPr>
            <w:r>
              <w:t>2</w:t>
            </w:r>
            <w:r w:rsidR="004B7B12">
              <w:t>0</w:t>
            </w:r>
            <w:r w:rsidR="00DA1654">
              <w:t xml:space="preserve"> </w:t>
            </w:r>
            <w:r w:rsidR="004B7B12">
              <w:t xml:space="preserve">% av </w:t>
            </w:r>
            <w:r w:rsidR="004B7B12">
              <w:sym w:font="Symbol" w:char="F044"/>
            </w:r>
            <w:r w:rsidR="004B7B12">
              <w:t>Pmax</w:t>
            </w:r>
          </w:p>
        </w:tc>
      </w:tr>
      <w:tr w:rsidR="004B7B12" w14:paraId="6425D19D" w14:textId="77777777" w:rsidTr="005E4AB9">
        <w:tc>
          <w:tcPr>
            <w:tcW w:w="2165" w:type="dxa"/>
          </w:tcPr>
          <w:p w14:paraId="25BD558F" w14:textId="77777777" w:rsidR="004B7B12" w:rsidRDefault="004B7B12" w:rsidP="005E4AB9">
            <w:pPr>
              <w:pStyle w:val="Brdtext"/>
            </w:pPr>
            <w:r>
              <w:t>3</w:t>
            </w:r>
          </w:p>
        </w:tc>
        <w:tc>
          <w:tcPr>
            <w:tcW w:w="2610" w:type="dxa"/>
          </w:tcPr>
          <w:p w14:paraId="6B88159B" w14:textId="77777777" w:rsidR="004B7B12" w:rsidRDefault="004B7B12" w:rsidP="005E4AB9">
            <w:pPr>
              <w:pStyle w:val="Brdtext"/>
            </w:pPr>
            <w:r>
              <w:t>12</w:t>
            </w:r>
          </w:p>
        </w:tc>
        <w:tc>
          <w:tcPr>
            <w:tcW w:w="2585" w:type="dxa"/>
          </w:tcPr>
          <w:p w14:paraId="5EB1C029" w14:textId="4C275DBB" w:rsidR="004B7B12" w:rsidRDefault="00DD40BC" w:rsidP="005E4AB9">
            <w:pPr>
              <w:pStyle w:val="Brdtext"/>
            </w:pPr>
            <w:r>
              <w:t>3</w:t>
            </w:r>
            <w:r w:rsidR="004B7B12">
              <w:t>0</w:t>
            </w:r>
            <w:r w:rsidR="00DA1654">
              <w:t xml:space="preserve"> </w:t>
            </w:r>
            <w:r w:rsidR="004B7B12">
              <w:t xml:space="preserve">% av </w:t>
            </w:r>
            <w:r w:rsidR="004B7B12">
              <w:sym w:font="Symbol" w:char="F044"/>
            </w:r>
            <w:r w:rsidR="004B7B12">
              <w:t>Pmax</w:t>
            </w:r>
          </w:p>
        </w:tc>
      </w:tr>
      <w:tr w:rsidR="004B7B12" w14:paraId="6EB6AB2B" w14:textId="77777777" w:rsidTr="005E4AB9">
        <w:tc>
          <w:tcPr>
            <w:tcW w:w="2165" w:type="dxa"/>
          </w:tcPr>
          <w:p w14:paraId="19E76362" w14:textId="77777777" w:rsidR="004B7B12" w:rsidRDefault="004B7B12" w:rsidP="005E4AB9">
            <w:pPr>
              <w:pStyle w:val="Brdtext"/>
            </w:pPr>
            <w:r>
              <w:t>4</w:t>
            </w:r>
          </w:p>
        </w:tc>
        <w:tc>
          <w:tcPr>
            <w:tcW w:w="2610" w:type="dxa"/>
          </w:tcPr>
          <w:p w14:paraId="5CDC56EE" w14:textId="77777777" w:rsidR="004B7B12" w:rsidRDefault="004B7B12" w:rsidP="005E4AB9">
            <w:pPr>
              <w:pStyle w:val="Brdtext"/>
            </w:pPr>
            <w:r>
              <w:t>13</w:t>
            </w:r>
          </w:p>
        </w:tc>
        <w:tc>
          <w:tcPr>
            <w:tcW w:w="2585" w:type="dxa"/>
          </w:tcPr>
          <w:p w14:paraId="0BFFC85F" w14:textId="4758CB6A" w:rsidR="004B7B12" w:rsidRDefault="004B7B12" w:rsidP="005E4AB9">
            <w:pPr>
              <w:pStyle w:val="Brdtext"/>
            </w:pPr>
            <w:r>
              <w:t>50</w:t>
            </w:r>
            <w:r w:rsidR="00DA1654">
              <w:t xml:space="preserve"> </w:t>
            </w:r>
            <w:r>
              <w:t xml:space="preserve">% av </w:t>
            </w:r>
            <w:r>
              <w:sym w:font="Symbol" w:char="F044"/>
            </w:r>
            <w:r>
              <w:t>Pmax</w:t>
            </w:r>
          </w:p>
        </w:tc>
      </w:tr>
      <w:tr w:rsidR="004B7B12" w14:paraId="2E14415D" w14:textId="77777777" w:rsidTr="005E4AB9">
        <w:tc>
          <w:tcPr>
            <w:tcW w:w="2165" w:type="dxa"/>
          </w:tcPr>
          <w:p w14:paraId="70D17579" w14:textId="77777777" w:rsidR="004B7B12" w:rsidRDefault="004B7B12" w:rsidP="005E4AB9">
            <w:pPr>
              <w:pStyle w:val="Brdtext"/>
            </w:pPr>
            <w:r>
              <w:t>5</w:t>
            </w:r>
          </w:p>
        </w:tc>
        <w:tc>
          <w:tcPr>
            <w:tcW w:w="2610" w:type="dxa"/>
          </w:tcPr>
          <w:p w14:paraId="2E948FAE" w14:textId="77777777" w:rsidR="004B7B12" w:rsidRDefault="004B7B12" w:rsidP="005E4AB9">
            <w:pPr>
              <w:pStyle w:val="Brdtext"/>
            </w:pPr>
            <w:r>
              <w:t>19</w:t>
            </w:r>
          </w:p>
        </w:tc>
        <w:tc>
          <w:tcPr>
            <w:tcW w:w="2585" w:type="dxa"/>
          </w:tcPr>
          <w:p w14:paraId="1458CF45" w14:textId="6204A325" w:rsidR="004B7B12" w:rsidRDefault="00DD40BC" w:rsidP="005E4AB9">
            <w:pPr>
              <w:pStyle w:val="Brdtext"/>
            </w:pPr>
            <w:r>
              <w:t>3</w:t>
            </w:r>
            <w:r w:rsidR="004B7B12">
              <w:t>0</w:t>
            </w:r>
            <w:r w:rsidR="00DA1654">
              <w:t xml:space="preserve"> </w:t>
            </w:r>
            <w:r w:rsidR="004B7B12">
              <w:t xml:space="preserve">% av </w:t>
            </w:r>
            <w:r w:rsidR="004B7B12">
              <w:sym w:font="Symbol" w:char="F044"/>
            </w:r>
            <w:r w:rsidR="004B7B12">
              <w:t>Pmax</w:t>
            </w:r>
          </w:p>
        </w:tc>
      </w:tr>
      <w:tr w:rsidR="004B7B12" w14:paraId="34886200" w14:textId="77777777" w:rsidTr="005E4AB9">
        <w:tc>
          <w:tcPr>
            <w:tcW w:w="2165" w:type="dxa"/>
          </w:tcPr>
          <w:p w14:paraId="5A1C6892" w14:textId="77777777" w:rsidR="004B7B12" w:rsidRDefault="004B7B12" w:rsidP="005E4AB9">
            <w:pPr>
              <w:pStyle w:val="Brdtext"/>
            </w:pPr>
            <w:r>
              <w:t>6</w:t>
            </w:r>
          </w:p>
        </w:tc>
        <w:tc>
          <w:tcPr>
            <w:tcW w:w="2610" w:type="dxa"/>
          </w:tcPr>
          <w:p w14:paraId="0EE49670" w14:textId="77777777" w:rsidR="004B7B12" w:rsidRDefault="004B7B12" w:rsidP="005E4AB9">
            <w:pPr>
              <w:pStyle w:val="Brdtext"/>
            </w:pPr>
            <w:r>
              <w:t>20</w:t>
            </w:r>
          </w:p>
        </w:tc>
        <w:tc>
          <w:tcPr>
            <w:tcW w:w="2585" w:type="dxa"/>
          </w:tcPr>
          <w:p w14:paraId="726C01A7" w14:textId="39908803" w:rsidR="004B7B12" w:rsidRDefault="00DD40BC" w:rsidP="005E4AB9">
            <w:pPr>
              <w:pStyle w:val="Brdtext"/>
            </w:pPr>
            <w:r>
              <w:t>2</w:t>
            </w:r>
            <w:r w:rsidR="004B7B12">
              <w:t>0</w:t>
            </w:r>
            <w:r w:rsidR="00DA1654">
              <w:t xml:space="preserve"> </w:t>
            </w:r>
            <w:r w:rsidR="004B7B12">
              <w:t xml:space="preserve">% av </w:t>
            </w:r>
            <w:r w:rsidR="004B7B12">
              <w:sym w:font="Symbol" w:char="F044"/>
            </w:r>
            <w:r w:rsidR="004B7B12">
              <w:t>Pmax</w:t>
            </w:r>
          </w:p>
        </w:tc>
      </w:tr>
      <w:tr w:rsidR="004B7B12" w14:paraId="1825E8AE" w14:textId="77777777" w:rsidTr="005E4AB9">
        <w:tc>
          <w:tcPr>
            <w:tcW w:w="2165" w:type="dxa"/>
          </w:tcPr>
          <w:p w14:paraId="6F245710" w14:textId="77777777" w:rsidR="004B7B12" w:rsidRDefault="004B7B12" w:rsidP="005E4AB9">
            <w:pPr>
              <w:pStyle w:val="Brdtext"/>
            </w:pPr>
            <w:r>
              <w:t>7</w:t>
            </w:r>
          </w:p>
        </w:tc>
        <w:tc>
          <w:tcPr>
            <w:tcW w:w="2610" w:type="dxa"/>
          </w:tcPr>
          <w:p w14:paraId="602D0270" w14:textId="77777777" w:rsidR="004B7B12" w:rsidRDefault="004B7B12" w:rsidP="005E4AB9">
            <w:pPr>
              <w:pStyle w:val="Brdtext"/>
            </w:pPr>
            <w:r>
              <w:t>21</w:t>
            </w:r>
          </w:p>
        </w:tc>
        <w:tc>
          <w:tcPr>
            <w:tcW w:w="2585" w:type="dxa"/>
          </w:tcPr>
          <w:p w14:paraId="39C365D1" w14:textId="6A91BE0F" w:rsidR="004B7B12" w:rsidRDefault="00746A4F" w:rsidP="005E4AB9">
            <w:pPr>
              <w:pStyle w:val="Brdtext"/>
            </w:pPr>
            <w:r>
              <w:t>-</w:t>
            </w:r>
            <w:r w:rsidR="004B7B12">
              <w:t>1</w:t>
            </w:r>
          </w:p>
        </w:tc>
      </w:tr>
      <w:tr w:rsidR="004B7B12" w14:paraId="0B7635DA" w14:textId="77777777" w:rsidTr="005E4AB9">
        <w:tc>
          <w:tcPr>
            <w:tcW w:w="2165" w:type="dxa"/>
          </w:tcPr>
          <w:p w14:paraId="015C2851" w14:textId="77777777" w:rsidR="004B7B12" w:rsidRDefault="004B7B12" w:rsidP="005E4AB9">
            <w:pPr>
              <w:pStyle w:val="Brdtext"/>
            </w:pPr>
            <w:r>
              <w:t>8</w:t>
            </w:r>
          </w:p>
        </w:tc>
        <w:tc>
          <w:tcPr>
            <w:tcW w:w="2610" w:type="dxa"/>
          </w:tcPr>
          <w:p w14:paraId="47835B61" w14:textId="77777777" w:rsidR="004B7B12" w:rsidRDefault="004B7B12" w:rsidP="005E4AB9">
            <w:pPr>
              <w:pStyle w:val="Brdtext"/>
            </w:pPr>
            <w:r>
              <w:t>27</w:t>
            </w:r>
          </w:p>
        </w:tc>
        <w:tc>
          <w:tcPr>
            <w:tcW w:w="2585" w:type="dxa"/>
          </w:tcPr>
          <w:p w14:paraId="15557BAC" w14:textId="77777777" w:rsidR="004B7B12" w:rsidRDefault="004B7B12" w:rsidP="005E4AB9">
            <w:pPr>
              <w:pStyle w:val="Brdtext"/>
            </w:pPr>
            <w:r>
              <w:t>0</w:t>
            </w:r>
          </w:p>
        </w:tc>
      </w:tr>
      <w:tr w:rsidR="004B7B12" w14:paraId="24176D01" w14:textId="77777777" w:rsidTr="005E4AB9">
        <w:tc>
          <w:tcPr>
            <w:tcW w:w="2165" w:type="dxa"/>
          </w:tcPr>
          <w:p w14:paraId="50FCA0CB" w14:textId="77777777" w:rsidR="004B7B12" w:rsidRDefault="004B7B12" w:rsidP="005E4AB9">
            <w:pPr>
              <w:pStyle w:val="Brdtext"/>
            </w:pPr>
            <w:r>
              <w:t>9</w:t>
            </w:r>
          </w:p>
        </w:tc>
        <w:tc>
          <w:tcPr>
            <w:tcW w:w="2610" w:type="dxa"/>
          </w:tcPr>
          <w:p w14:paraId="06B17938" w14:textId="77777777" w:rsidR="004B7B12" w:rsidRDefault="004B7B12" w:rsidP="005E4AB9">
            <w:pPr>
              <w:pStyle w:val="Brdtext"/>
            </w:pPr>
            <w:r>
              <w:t>33</w:t>
            </w:r>
          </w:p>
        </w:tc>
        <w:tc>
          <w:tcPr>
            <w:tcW w:w="2585" w:type="dxa"/>
          </w:tcPr>
          <w:p w14:paraId="61841B47" w14:textId="45FE2F41" w:rsidR="004B7B12" w:rsidRDefault="004B7B12" w:rsidP="005E4AB9">
            <w:pPr>
              <w:pStyle w:val="Brdtext"/>
            </w:pPr>
            <w:r>
              <w:t>50</w:t>
            </w:r>
            <w:r w:rsidR="00DA1654">
              <w:t xml:space="preserve"> </w:t>
            </w:r>
            <w:r>
              <w:t xml:space="preserve">% av </w:t>
            </w:r>
            <w:r>
              <w:sym w:font="Symbol" w:char="F044"/>
            </w:r>
            <w:r>
              <w:t>Pmax</w:t>
            </w:r>
          </w:p>
        </w:tc>
      </w:tr>
      <w:tr w:rsidR="004B7B12" w14:paraId="3BDA7C5D" w14:textId="77777777" w:rsidTr="005E4AB9">
        <w:tc>
          <w:tcPr>
            <w:tcW w:w="2165" w:type="dxa"/>
          </w:tcPr>
          <w:p w14:paraId="31BD7CA8" w14:textId="77777777" w:rsidR="004B7B12" w:rsidRDefault="004B7B12" w:rsidP="005E4AB9">
            <w:pPr>
              <w:pStyle w:val="Brdtext"/>
            </w:pPr>
            <w:r>
              <w:t>10</w:t>
            </w:r>
          </w:p>
        </w:tc>
        <w:tc>
          <w:tcPr>
            <w:tcW w:w="2610" w:type="dxa"/>
          </w:tcPr>
          <w:p w14:paraId="4D6402D6" w14:textId="77777777" w:rsidR="004B7B12" w:rsidRDefault="004B7B12" w:rsidP="005E4AB9">
            <w:pPr>
              <w:pStyle w:val="Brdtext"/>
            </w:pPr>
            <w:r>
              <w:t>39</w:t>
            </w:r>
          </w:p>
        </w:tc>
        <w:tc>
          <w:tcPr>
            <w:tcW w:w="2585" w:type="dxa"/>
          </w:tcPr>
          <w:p w14:paraId="10CDA25D" w14:textId="77777777" w:rsidR="004B7B12" w:rsidRDefault="004B7B12" w:rsidP="005E4AB9">
            <w:pPr>
              <w:pStyle w:val="Brdtext"/>
            </w:pPr>
            <w:r>
              <w:t>0</w:t>
            </w:r>
          </w:p>
        </w:tc>
      </w:tr>
      <w:tr w:rsidR="004B7B12" w14:paraId="28706EF9" w14:textId="77777777" w:rsidTr="005E4AB9">
        <w:tc>
          <w:tcPr>
            <w:tcW w:w="2165" w:type="dxa"/>
          </w:tcPr>
          <w:p w14:paraId="47E1C690" w14:textId="77777777" w:rsidR="004B7B12" w:rsidRDefault="004B7B12" w:rsidP="005E4AB9">
            <w:pPr>
              <w:pStyle w:val="Brdtext"/>
            </w:pPr>
            <w:r>
              <w:t>11</w:t>
            </w:r>
          </w:p>
        </w:tc>
        <w:tc>
          <w:tcPr>
            <w:tcW w:w="2610" w:type="dxa"/>
          </w:tcPr>
          <w:p w14:paraId="3B8B66CB" w14:textId="77777777" w:rsidR="004B7B12" w:rsidRDefault="004B7B12" w:rsidP="005E4AB9">
            <w:pPr>
              <w:pStyle w:val="Brdtext"/>
            </w:pPr>
            <w:r>
              <w:t>45</w:t>
            </w:r>
          </w:p>
        </w:tc>
        <w:tc>
          <w:tcPr>
            <w:tcW w:w="2585" w:type="dxa"/>
          </w:tcPr>
          <w:p w14:paraId="6DF34379" w14:textId="73E5B73C" w:rsidR="004B7B12" w:rsidRDefault="004B7B12" w:rsidP="005E4AB9">
            <w:pPr>
              <w:pStyle w:val="Brdtext"/>
            </w:pPr>
            <w:r>
              <w:t>100</w:t>
            </w:r>
            <w:r w:rsidR="00DA1654">
              <w:t xml:space="preserve"> </w:t>
            </w:r>
            <w:r>
              <w:t xml:space="preserve">% av </w:t>
            </w:r>
            <w:r>
              <w:sym w:font="Symbol" w:char="F044"/>
            </w:r>
            <w:r>
              <w:t>Pmax</w:t>
            </w:r>
          </w:p>
        </w:tc>
      </w:tr>
      <w:tr w:rsidR="004B7B12" w14:paraId="74665DEE" w14:textId="77777777" w:rsidTr="005E4AB9">
        <w:tc>
          <w:tcPr>
            <w:tcW w:w="2165" w:type="dxa"/>
          </w:tcPr>
          <w:p w14:paraId="7C5DFD3A" w14:textId="77777777" w:rsidR="004B7B12" w:rsidRDefault="004B7B12" w:rsidP="005E4AB9">
            <w:pPr>
              <w:pStyle w:val="Brdtext"/>
            </w:pPr>
            <w:r>
              <w:t>12</w:t>
            </w:r>
          </w:p>
        </w:tc>
        <w:tc>
          <w:tcPr>
            <w:tcW w:w="2610" w:type="dxa"/>
          </w:tcPr>
          <w:p w14:paraId="3CC891CE" w14:textId="77777777" w:rsidR="004B7B12" w:rsidRDefault="004B7B12" w:rsidP="005E4AB9">
            <w:pPr>
              <w:pStyle w:val="Brdtext"/>
            </w:pPr>
            <w:r>
              <w:t>51</w:t>
            </w:r>
          </w:p>
        </w:tc>
        <w:tc>
          <w:tcPr>
            <w:tcW w:w="2585" w:type="dxa"/>
          </w:tcPr>
          <w:p w14:paraId="758E6FDD" w14:textId="77777777" w:rsidR="004B7B12" w:rsidRDefault="004B7B12" w:rsidP="005E4AB9">
            <w:pPr>
              <w:pStyle w:val="Brdtext"/>
            </w:pPr>
            <w:r>
              <w:t>0</w:t>
            </w:r>
          </w:p>
        </w:tc>
      </w:tr>
    </w:tbl>
    <w:p w14:paraId="02708C90" w14:textId="68D7FFEE" w:rsidR="00DD40BC" w:rsidRDefault="00DD40BC" w:rsidP="00DD40BC">
      <w:pPr>
        <w:pStyle w:val="Brdtext"/>
      </w:pPr>
      <w:r>
        <w:t xml:space="preserve">Efter att enheten eller gruppen genomgått ovanstående sekvens beräknas </w:t>
      </w:r>
      <w:r w:rsidR="00F97B80">
        <w:t xml:space="preserve">aktiveringstiden </w:t>
      </w:r>
      <w:r>
        <w:t>(FAT) för uppreglering enligt nedanstående formel:</w:t>
      </w:r>
    </w:p>
    <w:p w14:paraId="32CD2942" w14:textId="304A4D6A" w:rsidR="00DD40BC" w:rsidRPr="007518CD" w:rsidRDefault="00DD40BC" w:rsidP="00DD40BC">
      <w:pPr>
        <w:pStyle w:val="Brdtext"/>
      </w:pPr>
      <m:oMathPara>
        <m:oMath>
          <m:r>
            <w:rPr>
              <w:rFonts w:ascii="Cambria Math" w:hAnsi="Cambria Math"/>
            </w:rPr>
            <m:t>FAT=</m:t>
          </m:r>
          <m:r>
            <m:rPr>
              <m:sty m:val="p"/>
            </m:rPr>
            <w:rPr>
              <w:rFonts w:ascii="Cambria Math" w:hAnsi="Cambria Math"/>
            </w:rPr>
            <m:t>max⁡</m:t>
          </m:r>
          <m:r>
            <w:rPr>
              <w:rFonts w:ascii="Cambria Math" w:hAnsi="Cambria Math"/>
            </w:rPr>
            <m:t>(</m:t>
          </m:r>
          <m:r>
            <m:rPr>
              <m:sty m:val="p"/>
            </m:rP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steg 1</m:t>
              </m:r>
            </m:sub>
          </m:sSub>
          <m:r>
            <w:rPr>
              <w:rFonts w:ascii="Cambria Math" w:hAnsi="Cambria Math"/>
            </w:rPr>
            <m:t>,</m:t>
          </m:r>
          <m:r>
            <m:rPr>
              <m:sty m:val="p"/>
            </m:rP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steg 4</m:t>
              </m:r>
            </m:sub>
          </m:sSub>
          <m:r>
            <w:rPr>
              <w:rFonts w:ascii="Cambria Math" w:hAnsi="Cambria Math"/>
            </w:rPr>
            <m:t>,</m:t>
          </m:r>
          <m:r>
            <m:rPr>
              <m:sty m:val="p"/>
            </m:rP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 xml:space="preserve">steg 7, </m:t>
              </m:r>
            </m:sub>
          </m:sSub>
          <m:r>
            <m:rPr>
              <m:sty m:val="p"/>
            </m:rP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steg 8</m:t>
              </m:r>
            </m:sub>
          </m:sSub>
          <m:r>
            <w:rPr>
              <w:rFonts w:ascii="Cambria Math" w:hAnsi="Cambria Math"/>
            </w:rPr>
            <m:t xml:space="preserve">,…, </m:t>
          </m:r>
          <m:r>
            <m:rPr>
              <m:sty m:val="p"/>
            </m:rPr>
            <w:rPr>
              <w:rFonts w:ascii="Cambria Math" w:hAnsi="Cambria Math"/>
            </w:rPr>
            <m:t>Δ</m:t>
          </m:r>
          <m:sSub>
            <m:sSubPr>
              <m:ctrlPr>
                <w:rPr>
                  <w:rFonts w:ascii="Cambria Math" w:hAnsi="Cambria Math"/>
                  <w:i/>
                </w:rPr>
              </m:ctrlPr>
            </m:sSubPr>
            <m:e>
              <m:r>
                <w:rPr>
                  <w:rFonts w:ascii="Cambria Math" w:hAnsi="Cambria Math"/>
                </w:rPr>
                <m:t>t</m:t>
              </m:r>
            </m:e>
            <m:sub>
              <m:r>
                <w:rPr>
                  <w:rFonts w:ascii="Cambria Math" w:hAnsi="Cambria Math"/>
                </w:rPr>
                <m:t>steg 12</m:t>
              </m:r>
            </m:sub>
          </m:sSub>
          <m:r>
            <w:rPr>
              <w:rFonts w:ascii="Cambria Math" w:hAnsi="Cambria Math"/>
            </w:rPr>
            <m:t>)+reaktionstid</m:t>
          </m:r>
        </m:oMath>
      </m:oMathPara>
    </w:p>
    <w:p w14:paraId="2A264B24" w14:textId="189DF251" w:rsidR="00E978B4" w:rsidRDefault="00E978B4" w:rsidP="00E978B4">
      <w:pPr>
        <w:pStyle w:val="Brdtext"/>
      </w:pPr>
      <w:r>
        <w:t xml:space="preserve">Där </w:t>
      </w:r>
      <m:oMath>
        <m:r>
          <m:rPr>
            <m:sty m:val="p"/>
          </m:rPr>
          <w:rPr>
            <w:rFonts w:ascii="Cambria Math" w:hAnsi="Cambria Math"/>
          </w:rPr>
          <m:t>Δt</m:t>
        </m:r>
      </m:oMath>
      <w:r>
        <w:t xml:space="preserve"> är tiden det tar från och med att enheten eller gruppen börjar aktivera enligt det nya börvärdet till dess att den levererar enligt börvärdet. </w:t>
      </w:r>
      <w:r w:rsidR="002C564B">
        <w:t>Reaktionstiden fastställs som en del av signaltestet (se 4.1).</w:t>
      </w:r>
    </w:p>
    <w:p w14:paraId="57B58FAC" w14:textId="7BB91966" w:rsidR="00DD40BC" w:rsidRPr="00DD40BC" w:rsidRDefault="005E09D9" w:rsidP="00DD40BC">
      <w:pPr>
        <w:pStyle w:val="Rubrik3"/>
      </w:pPr>
      <w:r>
        <w:t>4</w:t>
      </w:r>
      <w:r w:rsidR="00DD40BC">
        <w:t xml:space="preserve">.2.3 </w:t>
      </w:r>
      <w:r w:rsidR="00830C6C">
        <w:t>Uthållighetstest</w:t>
      </w:r>
    </w:p>
    <w:p w14:paraId="4BE7A26B" w14:textId="3E6C32C3" w:rsidR="00DD40BC" w:rsidRDefault="00DD40BC" w:rsidP="004B7B12">
      <w:pPr>
        <w:pStyle w:val="Brdtext"/>
      </w:pPr>
      <w:r>
        <w:t>För enheter eller grupper med begränsad energireserv (LER), det vill säga samtliga tekniker med begränsningar i varaktighet och/eller återhämtningstid, tillkommer ett uthållighetstest i den begränsande riktningen (upp- eller nedreglering).</w:t>
      </w:r>
    </w:p>
    <w:p w14:paraId="1A2EA376" w14:textId="4E082F3E" w:rsidR="004B7B12" w:rsidRDefault="005F0364" w:rsidP="004B7B12">
      <w:pPr>
        <w:pStyle w:val="Brdtext"/>
      </w:pPr>
      <w:r>
        <w:t>Uthålligheten kan testas</w:t>
      </w:r>
      <w:r w:rsidR="004B7B12">
        <w:t xml:space="preserve"> på två olika sätt, leverantören väljer ett av dem. </w:t>
      </w:r>
    </w:p>
    <w:p w14:paraId="138D40A9" w14:textId="47C34914" w:rsidR="00806740" w:rsidRDefault="004B7B12" w:rsidP="004B7B12">
      <w:pPr>
        <w:pStyle w:val="Brdtext"/>
        <w:numPr>
          <w:ilvl w:val="0"/>
          <w:numId w:val="27"/>
        </w:numPr>
      </w:pPr>
      <w:r>
        <w:t xml:space="preserve">Uthållighetstestet </w:t>
      </w:r>
      <w:r w:rsidR="00C64C66">
        <w:t xml:space="preserve">kan göras </w:t>
      </w:r>
      <w:r>
        <w:t xml:space="preserve">som en del av </w:t>
      </w:r>
      <w:r w:rsidR="00950A4C">
        <w:t>kapacitetstest</w:t>
      </w:r>
      <w:r>
        <w:t xml:space="preserve"> genom att förlänga tiden mellan steg 11 och 12 från 6 minuter till en timme.</w:t>
      </w:r>
    </w:p>
    <w:p w14:paraId="0E6B94C3" w14:textId="77777777" w:rsidR="001F054E" w:rsidRPr="001F054E" w:rsidRDefault="001F054E" w:rsidP="001F054E">
      <w:pPr>
        <w:pStyle w:val="Liststycke"/>
        <w:numPr>
          <w:ilvl w:val="0"/>
          <w:numId w:val="27"/>
        </w:numPr>
        <w:rPr>
          <w:sz w:val="20"/>
        </w:rPr>
      </w:pPr>
      <w:r w:rsidRPr="001F054E">
        <w:rPr>
          <w:sz w:val="20"/>
        </w:rPr>
        <w:t>Uthållighetstestet kan göras separat från kapacitetstestet genom att leverantören visar att de kan leverera aFRR i den begränsade riktningen (upp-eller nedreglering) under en timme. Här går det bra att skicka in historiska data om sådana finns att tillgå. Historisk data får ej vara mer än ett år gammal vid ansökningstillfället.</w:t>
      </w:r>
    </w:p>
    <w:p w14:paraId="7D9BF6D2" w14:textId="64B4A69B" w:rsidR="00026EBD" w:rsidRPr="001C0F98" w:rsidRDefault="00026EBD" w:rsidP="00026EBD">
      <w:pPr>
        <w:pStyle w:val="Rubrik2"/>
        <w:numPr>
          <w:ilvl w:val="1"/>
          <w:numId w:val="39"/>
        </w:numPr>
      </w:pPr>
      <w:r w:rsidRPr="001C0F98">
        <w:lastRenderedPageBreak/>
        <w:t>Utvärdering av prognoserad budkapacitet och referenseffekt</w:t>
      </w:r>
    </w:p>
    <w:p w14:paraId="6358BFDC" w14:textId="65F6FE4D" w:rsidR="00026EBD" w:rsidRPr="001C0F98" w:rsidRDefault="00026EBD" w:rsidP="00026EBD">
      <w:pPr>
        <w:pStyle w:val="Brdtext"/>
        <w:rPr>
          <w:i/>
        </w:rPr>
      </w:pPr>
      <w:r w:rsidRPr="001C0F98">
        <w:t>Om effekten från enheten eller gruppen varierar beroende på omgivningsförhållanden, ska minst 2 månaders loggad data(</w:t>
      </w:r>
      <w:r w:rsidRPr="001C0F98">
        <w:rPr>
          <w:i/>
        </w:rPr>
        <w:t>Rapportering av mätvärden för enheter och grupper med variabel produktion och förbrukning),</w:t>
      </w:r>
      <w:r w:rsidRPr="001C0F98">
        <w:t xml:space="preserve"> bifogas i ansökan. Insamlad data måste innehålla minst 150 timmar bud. Data som ska loggas och skickas in ska följa angivet format enligt </w:t>
      </w:r>
      <w:r w:rsidRPr="001C0F98">
        <w:rPr>
          <w:i/>
        </w:rPr>
        <w:t>Rapportering av mätvärden för enheter och grupper med variabel produktion och förbrukning.</w:t>
      </w:r>
    </w:p>
    <w:p w14:paraId="5EC55893" w14:textId="6829EB01" w:rsidR="00026EBD" w:rsidRPr="001C0F98" w:rsidRDefault="00026EBD" w:rsidP="00026EBD">
      <w:pPr>
        <w:pStyle w:val="Brdtext"/>
      </w:pPr>
      <w:r w:rsidRPr="001C0F98">
        <w:rPr>
          <w:i/>
        </w:rPr>
        <w:t xml:space="preserve">Observera att, </w:t>
      </w:r>
      <w:r w:rsidRPr="001C0F98">
        <w:t>beroende av noggrannheten på referensvärdet så kan minkapaciteten komma att justeras vid utvärdering av förkvalificeringsansökan</w:t>
      </w:r>
      <w:r w:rsidR="001C0F98" w:rsidRPr="001C0F98">
        <w:t>.</w:t>
      </w:r>
    </w:p>
    <w:p w14:paraId="11183913" w14:textId="77777777" w:rsidR="00DC6173" w:rsidRDefault="00DC6173" w:rsidP="00026EBD">
      <w:pPr>
        <w:pStyle w:val="Rubrik1"/>
        <w:numPr>
          <w:ilvl w:val="0"/>
          <w:numId w:val="39"/>
        </w:numPr>
      </w:pPr>
      <w:r>
        <w:t>Format</w:t>
      </w:r>
    </w:p>
    <w:p w14:paraId="69525AB4" w14:textId="77777777" w:rsidR="00DC6173" w:rsidRPr="00411D96" w:rsidRDefault="00DC6173" w:rsidP="00DC6173">
      <w:pPr>
        <w:pStyle w:val="Brdtext"/>
        <w:rPr>
          <w:rFonts w:asciiTheme="minorHAnsi" w:hAnsiTheme="minorHAnsi"/>
        </w:rPr>
      </w:pPr>
      <w:r w:rsidRPr="00411D96">
        <w:rPr>
          <w:rFonts w:asciiTheme="minorHAnsi" w:hAnsiTheme="minorHAnsi"/>
        </w:rPr>
        <w:t>För att Svenska kraftnät så smidigt och objektivt som möjligt ska kunna granska inskickad data är processen för detta delvis automatiserad. Formatering och filnamn ska därför följa specifikationerna nedan.</w:t>
      </w:r>
    </w:p>
    <w:p w14:paraId="176E8C33" w14:textId="77777777" w:rsidR="00DC6173" w:rsidRPr="00411D96" w:rsidRDefault="00DC6173" w:rsidP="00DC6173">
      <w:pPr>
        <w:pStyle w:val="Brdtext"/>
        <w:spacing w:after="0"/>
        <w:rPr>
          <w:rFonts w:asciiTheme="minorHAnsi" w:hAnsiTheme="minorHAnsi"/>
        </w:rPr>
      </w:pPr>
      <w:r w:rsidRPr="00411D96">
        <w:rPr>
          <w:rFonts w:asciiTheme="minorHAnsi" w:hAnsiTheme="minorHAnsi"/>
        </w:rPr>
        <w:t>Data levereras i csv-format (teckenkodning UTF-8), värden separerade med komma (,) och decimaler angivna med decimalpunkt (.). Rader separeras med radbrytning (</w:t>
      </w:r>
      <w:r w:rsidRPr="00411D96">
        <w:rPr>
          <w:rFonts w:ascii="Cambria Math" w:hAnsi="Cambria Math" w:cs="Cambria Math"/>
        </w:rPr>
        <w:t>↵</w:t>
      </w:r>
      <w:r w:rsidRPr="00411D96">
        <w:rPr>
          <w:rFonts w:asciiTheme="minorHAnsi" w:hAnsiTheme="minorHAnsi"/>
        </w:rPr>
        <w:t xml:space="preserve"> ASCII/CRLF=0x0D 0x0A). Filnamn ska anges på formatet</w:t>
      </w:r>
    </w:p>
    <w:p w14:paraId="07054E15" w14:textId="77777777" w:rsidR="00DC6173" w:rsidRPr="00411D96" w:rsidRDefault="00DC6173" w:rsidP="00DC6173">
      <w:pPr>
        <w:pStyle w:val="Brdtext"/>
        <w:rPr>
          <w:rFonts w:asciiTheme="minorHAnsi" w:hAnsiTheme="minorHAnsi"/>
        </w:rPr>
      </w:pPr>
      <w:r w:rsidRPr="00411D96">
        <w:rPr>
          <w:rFonts w:asciiTheme="minorHAnsi" w:hAnsiTheme="minorHAnsi"/>
        </w:rPr>
        <w:t>[Resource]_[Service]_[TestType]_[Area]_[Timezone].csv, där delelementen anges enligt följande:</w:t>
      </w:r>
    </w:p>
    <w:p w14:paraId="71912F07" w14:textId="77777777" w:rsidR="00DC6173" w:rsidRPr="00411D96" w:rsidRDefault="00DC6173" w:rsidP="00DC6173">
      <w:pPr>
        <w:pStyle w:val="Brdtext"/>
        <w:numPr>
          <w:ilvl w:val="0"/>
          <w:numId w:val="37"/>
        </w:numPr>
        <w:rPr>
          <w:rFonts w:asciiTheme="minorHAnsi" w:hAnsiTheme="minorHAnsi"/>
          <w:szCs w:val="20"/>
        </w:rPr>
      </w:pPr>
      <w:r w:rsidRPr="00411D96">
        <w:rPr>
          <w:rFonts w:asciiTheme="minorHAnsi" w:hAnsiTheme="minorHAnsi"/>
          <w:szCs w:val="20"/>
        </w:rPr>
        <w:t>Resource = Beteckning för resursen.</w:t>
      </w:r>
    </w:p>
    <w:p w14:paraId="69C6109C" w14:textId="012174B5" w:rsidR="00DC6173" w:rsidRPr="00411D96" w:rsidRDefault="00DC6173" w:rsidP="00DC6173">
      <w:pPr>
        <w:pStyle w:val="Brdtext"/>
        <w:numPr>
          <w:ilvl w:val="0"/>
          <w:numId w:val="37"/>
        </w:numPr>
        <w:rPr>
          <w:rFonts w:asciiTheme="minorHAnsi" w:hAnsiTheme="minorHAnsi"/>
          <w:szCs w:val="20"/>
        </w:rPr>
      </w:pPr>
      <w:r w:rsidRPr="00411D96">
        <w:rPr>
          <w:rFonts w:asciiTheme="minorHAnsi" w:hAnsiTheme="minorHAnsi"/>
          <w:szCs w:val="20"/>
        </w:rPr>
        <w:t>Service = Stödtjänst som l</w:t>
      </w:r>
      <w:r>
        <w:rPr>
          <w:rFonts w:asciiTheme="minorHAnsi" w:hAnsiTheme="minorHAnsi"/>
          <w:szCs w:val="20"/>
        </w:rPr>
        <w:t>oggfilen omfattar i detta fall a</w:t>
      </w:r>
      <w:r w:rsidRPr="00411D96">
        <w:rPr>
          <w:rFonts w:asciiTheme="minorHAnsi" w:hAnsiTheme="minorHAnsi"/>
          <w:szCs w:val="20"/>
        </w:rPr>
        <w:t>FRRUp</w:t>
      </w:r>
      <w:r>
        <w:rPr>
          <w:rFonts w:asciiTheme="minorHAnsi" w:hAnsiTheme="minorHAnsi"/>
          <w:szCs w:val="20"/>
        </w:rPr>
        <w:t xml:space="preserve"> eller aFRRDown</w:t>
      </w:r>
      <w:r w:rsidR="000D6BB5">
        <w:rPr>
          <w:rFonts w:asciiTheme="minorHAnsi" w:hAnsiTheme="minorHAnsi"/>
          <w:szCs w:val="20"/>
        </w:rPr>
        <w:t>.</w:t>
      </w:r>
    </w:p>
    <w:p w14:paraId="6E780E41" w14:textId="77777777" w:rsidR="00DC6173" w:rsidRPr="00766328" w:rsidRDefault="00DC6173" w:rsidP="00DC6173">
      <w:pPr>
        <w:pStyle w:val="Brdtext"/>
        <w:numPr>
          <w:ilvl w:val="0"/>
          <w:numId w:val="37"/>
        </w:numPr>
        <w:rPr>
          <w:rFonts w:asciiTheme="minorHAnsi" w:hAnsiTheme="minorHAnsi"/>
          <w:szCs w:val="20"/>
          <w:lang w:val="en-US"/>
        </w:rPr>
      </w:pPr>
      <w:r w:rsidRPr="00411D96">
        <w:rPr>
          <w:rFonts w:asciiTheme="minorHAnsi" w:hAnsiTheme="minorHAnsi"/>
          <w:szCs w:val="20"/>
        </w:rPr>
        <w:t xml:space="preserve">TestType = Vilket test som loggfilen omfattar. </w:t>
      </w:r>
      <w:r w:rsidRPr="00766328">
        <w:rPr>
          <w:rFonts w:asciiTheme="minorHAnsi" w:hAnsiTheme="minorHAnsi"/>
          <w:szCs w:val="20"/>
          <w:lang w:val="en-US"/>
        </w:rPr>
        <w:t>Ex. CapTest</w:t>
      </w:r>
      <w:r>
        <w:rPr>
          <w:rFonts w:asciiTheme="minorHAnsi" w:hAnsiTheme="minorHAnsi"/>
          <w:szCs w:val="20"/>
          <w:lang w:val="en-US"/>
        </w:rPr>
        <w:t xml:space="preserve"> </w:t>
      </w:r>
      <w:r w:rsidRPr="00766328">
        <w:rPr>
          <w:rFonts w:asciiTheme="minorHAnsi" w:hAnsiTheme="minorHAnsi"/>
          <w:szCs w:val="20"/>
          <w:lang w:val="en-US"/>
        </w:rPr>
        <w:t>och</w:t>
      </w:r>
      <w:r>
        <w:rPr>
          <w:rFonts w:asciiTheme="minorHAnsi" w:hAnsiTheme="minorHAnsi"/>
          <w:szCs w:val="20"/>
          <w:lang w:val="en-US"/>
        </w:rPr>
        <w:t xml:space="preserve"> </w:t>
      </w:r>
      <w:r>
        <w:rPr>
          <w:szCs w:val="20"/>
          <w:lang w:val="en-US"/>
        </w:rPr>
        <w:t>ActiveCont.</w:t>
      </w:r>
    </w:p>
    <w:p w14:paraId="0EC7CECC" w14:textId="77777777" w:rsidR="00DC6173" w:rsidRPr="00411D96" w:rsidRDefault="00DC6173" w:rsidP="00DC6173">
      <w:pPr>
        <w:pStyle w:val="Brdtext"/>
        <w:numPr>
          <w:ilvl w:val="0"/>
          <w:numId w:val="37"/>
        </w:numPr>
        <w:rPr>
          <w:rFonts w:asciiTheme="minorHAnsi" w:hAnsiTheme="minorHAnsi"/>
          <w:szCs w:val="20"/>
        </w:rPr>
      </w:pPr>
      <w:r w:rsidRPr="00411D96">
        <w:rPr>
          <w:rFonts w:asciiTheme="minorHAnsi" w:hAnsiTheme="minorHAnsi"/>
          <w:szCs w:val="20"/>
        </w:rPr>
        <w:t>Area = Budområde för enheten/gruppen. Budområdet kan vara antingen SE1, SE2, SE3 eller SE4.</w:t>
      </w:r>
    </w:p>
    <w:p w14:paraId="22553344" w14:textId="77777777" w:rsidR="00DC6173" w:rsidRPr="00411D96" w:rsidRDefault="00DC6173" w:rsidP="00DC6173">
      <w:pPr>
        <w:pStyle w:val="Brdtext"/>
        <w:numPr>
          <w:ilvl w:val="0"/>
          <w:numId w:val="37"/>
        </w:numPr>
        <w:rPr>
          <w:rFonts w:asciiTheme="minorHAnsi" w:hAnsiTheme="minorHAnsi"/>
          <w:szCs w:val="20"/>
        </w:rPr>
      </w:pPr>
      <w:r w:rsidRPr="00411D96">
        <w:rPr>
          <w:rFonts w:asciiTheme="minorHAnsi" w:hAnsiTheme="minorHAnsi"/>
          <w:szCs w:val="20"/>
        </w:rPr>
        <w:t>Timezone = Tidszonen som använts vid loggning av data ex. CET/CEST eller UTC.</w:t>
      </w:r>
    </w:p>
    <w:p w14:paraId="399C724C" w14:textId="77777777" w:rsidR="00DC6173" w:rsidRPr="00411D96" w:rsidRDefault="00DC6173" w:rsidP="00DC6173">
      <w:pPr>
        <w:pStyle w:val="Brdtext"/>
        <w:rPr>
          <w:rFonts w:asciiTheme="minorHAnsi" w:hAnsiTheme="minorHAnsi"/>
          <w:szCs w:val="20"/>
        </w:rPr>
      </w:pPr>
      <w:r w:rsidRPr="00411D96">
        <w:rPr>
          <w:rFonts w:asciiTheme="minorHAnsi" w:hAnsiTheme="minorHAnsi"/>
          <w:szCs w:val="20"/>
        </w:rPr>
        <w:t>Exempel på filnamn:</w:t>
      </w:r>
    </w:p>
    <w:p w14:paraId="41D9A919" w14:textId="2258E16C" w:rsidR="00DC6173" w:rsidRPr="00FC0249" w:rsidRDefault="00DC6173" w:rsidP="00DC6173">
      <w:pPr>
        <w:pStyle w:val="Brdtext"/>
        <w:rPr>
          <w:rFonts w:ascii="Courier New" w:hAnsi="Courier New" w:cs="Courier New"/>
          <w:sz w:val="18"/>
        </w:rPr>
      </w:pPr>
      <w:r w:rsidRPr="00FC0249">
        <w:rPr>
          <w:rFonts w:ascii="Courier New" w:hAnsi="Courier New" w:cs="Courier New"/>
          <w:sz w:val="18"/>
        </w:rPr>
        <w:t>UnitG1_aFRRUp_</w:t>
      </w:r>
      <w:r w:rsidRPr="00FC0249">
        <w:t xml:space="preserve"> </w:t>
      </w:r>
      <w:r w:rsidRPr="00FC0249">
        <w:rPr>
          <w:rFonts w:ascii="Courier New" w:hAnsi="Courier New" w:cs="Courier New"/>
          <w:sz w:val="18"/>
        </w:rPr>
        <w:t>CapTest_SE3_UTC.csv</w:t>
      </w:r>
    </w:p>
    <w:p w14:paraId="5638F59A" w14:textId="77777777" w:rsidR="00DC6173" w:rsidRPr="00411D96" w:rsidRDefault="00DC6173" w:rsidP="00DC6173">
      <w:pPr>
        <w:pStyle w:val="Brdtext"/>
        <w:tabs>
          <w:tab w:val="right" w:pos="7370"/>
        </w:tabs>
        <w:rPr>
          <w:rFonts w:asciiTheme="minorHAnsi" w:hAnsiTheme="minorHAnsi"/>
        </w:rPr>
      </w:pPr>
      <w:r w:rsidRPr="00411D96">
        <w:rPr>
          <w:rFonts w:asciiTheme="minorHAnsi" w:hAnsiTheme="minorHAnsi"/>
        </w:rPr>
        <w:t>Datapunkter i csv-filen formateras enligt följande:</w:t>
      </w:r>
      <w:r>
        <w:rPr>
          <w:rFonts w:asciiTheme="minorHAnsi" w:hAnsiTheme="minorHAnsi"/>
        </w:rPr>
        <w:tab/>
      </w:r>
    </w:p>
    <w:p w14:paraId="623306C2" w14:textId="77777777" w:rsidR="00DC6173" w:rsidRPr="00163C33" w:rsidRDefault="00DC6173" w:rsidP="00DC6173">
      <w:pPr>
        <w:pStyle w:val="Default"/>
        <w:rPr>
          <w:rFonts w:ascii="Courier New" w:hAnsi="Courier New" w:cs="Courier New"/>
          <w:color w:val="auto"/>
          <w:sz w:val="20"/>
          <w:szCs w:val="22"/>
          <w:lang w:val="en-US"/>
        </w:rPr>
      </w:pPr>
      <w:r>
        <w:rPr>
          <w:rFonts w:ascii="Courier New" w:hAnsi="Courier New" w:cs="Courier New"/>
          <w:color w:val="auto"/>
          <w:sz w:val="20"/>
          <w:szCs w:val="22"/>
          <w:lang w:val="en-US"/>
        </w:rPr>
        <w:t>DateTime</w:t>
      </w:r>
      <w:r w:rsidRPr="00163C33">
        <w:rPr>
          <w:rFonts w:ascii="Courier New" w:hAnsi="Courier New" w:cs="Courier New"/>
          <w:color w:val="auto"/>
          <w:sz w:val="20"/>
          <w:szCs w:val="22"/>
          <w:lang w:val="en-US"/>
        </w:rPr>
        <w:t>,</w:t>
      </w:r>
      <w:r w:rsidRPr="00163C33" w:rsidDel="00C821EE">
        <w:rPr>
          <w:rFonts w:ascii="Courier New" w:hAnsi="Courier New" w:cs="Courier New"/>
          <w:color w:val="auto"/>
          <w:sz w:val="20"/>
          <w:szCs w:val="22"/>
          <w:lang w:val="en-US"/>
        </w:rPr>
        <w:t xml:space="preserve"> </w:t>
      </w:r>
      <w:r w:rsidRPr="00163C33">
        <w:rPr>
          <w:rFonts w:ascii="Courier New" w:hAnsi="Courier New" w:cs="Courier New"/>
          <w:color w:val="auto"/>
          <w:sz w:val="20"/>
          <w:szCs w:val="22"/>
          <w:lang w:val="en-US"/>
        </w:rPr>
        <w:t xml:space="preserve">InsAcPow, … </w:t>
      </w:r>
    </w:p>
    <w:p w14:paraId="5A973D4E" w14:textId="77777777" w:rsidR="00DC6173" w:rsidRPr="00163C33" w:rsidRDefault="00DC6173" w:rsidP="00DC6173">
      <w:pPr>
        <w:pStyle w:val="Default"/>
        <w:rPr>
          <w:rFonts w:ascii="Courier New" w:hAnsi="Courier New" w:cs="Courier New"/>
          <w:color w:val="auto"/>
          <w:sz w:val="20"/>
          <w:szCs w:val="22"/>
          <w:lang w:val="en-US"/>
        </w:rPr>
      </w:pPr>
      <w:r>
        <w:rPr>
          <w:rFonts w:ascii="Courier New" w:hAnsi="Courier New" w:cs="Courier New"/>
          <w:color w:val="auto"/>
          <w:sz w:val="20"/>
          <w:szCs w:val="22"/>
          <w:lang w:val="en-US"/>
        </w:rPr>
        <w:t>[DateTime1]</w:t>
      </w:r>
      <w:r w:rsidRPr="00163C33">
        <w:rPr>
          <w:rFonts w:ascii="Courier New" w:hAnsi="Courier New" w:cs="Courier New"/>
          <w:color w:val="auto"/>
          <w:sz w:val="20"/>
          <w:szCs w:val="22"/>
          <w:lang w:val="en-US"/>
        </w:rPr>
        <w:t>,[record</w:t>
      </w:r>
      <w:r>
        <w:rPr>
          <w:rFonts w:ascii="Courier New" w:hAnsi="Courier New" w:cs="Courier New"/>
          <w:color w:val="auto"/>
          <w:sz w:val="20"/>
          <w:szCs w:val="22"/>
          <w:lang w:val="en-US"/>
        </w:rPr>
        <w:t>1_</w:t>
      </w:r>
      <w:r w:rsidRPr="00163C33">
        <w:rPr>
          <w:rFonts w:ascii="Courier New" w:hAnsi="Courier New" w:cs="Courier New"/>
          <w:color w:val="auto"/>
          <w:sz w:val="20"/>
          <w:szCs w:val="22"/>
          <w:lang w:val="en-US"/>
        </w:rPr>
        <w:t>1],[record</w:t>
      </w:r>
      <w:r>
        <w:rPr>
          <w:rFonts w:ascii="Courier New" w:hAnsi="Courier New" w:cs="Courier New"/>
          <w:color w:val="auto"/>
          <w:sz w:val="20"/>
          <w:szCs w:val="22"/>
          <w:lang w:val="en-US"/>
        </w:rPr>
        <w:t>1_</w:t>
      </w:r>
      <w:r w:rsidRPr="00163C33">
        <w:rPr>
          <w:rFonts w:ascii="Courier New" w:hAnsi="Courier New" w:cs="Courier New"/>
          <w:color w:val="auto"/>
          <w:sz w:val="20"/>
          <w:szCs w:val="22"/>
          <w:lang w:val="en-US"/>
        </w:rPr>
        <w:t>2], … ,[record</w:t>
      </w:r>
      <w:r>
        <w:rPr>
          <w:rFonts w:ascii="Courier New" w:hAnsi="Courier New" w:cs="Courier New"/>
          <w:color w:val="auto"/>
          <w:sz w:val="20"/>
          <w:szCs w:val="22"/>
          <w:lang w:val="en-US"/>
        </w:rPr>
        <w:t>1_</w:t>
      </w:r>
      <w:r w:rsidRPr="00163C33">
        <w:rPr>
          <w:rFonts w:ascii="Courier New" w:hAnsi="Courier New" w:cs="Courier New"/>
          <w:color w:val="auto"/>
          <w:sz w:val="20"/>
          <w:szCs w:val="22"/>
          <w:lang w:val="en-US"/>
        </w:rPr>
        <w:t xml:space="preserve">X] </w:t>
      </w:r>
    </w:p>
    <w:p w14:paraId="7717CAB3" w14:textId="77777777" w:rsidR="00DC6173" w:rsidRPr="00BD6E77" w:rsidRDefault="00DC6173" w:rsidP="00DC6173">
      <w:pPr>
        <w:pStyle w:val="Default"/>
        <w:rPr>
          <w:rFonts w:ascii="Courier New" w:hAnsi="Courier New" w:cs="Courier New"/>
          <w:color w:val="auto"/>
          <w:sz w:val="20"/>
          <w:szCs w:val="22"/>
          <w:lang w:val="en-US"/>
        </w:rPr>
      </w:pPr>
      <w:r>
        <w:rPr>
          <w:rFonts w:ascii="Courier New" w:hAnsi="Courier New" w:cs="Courier New"/>
          <w:color w:val="auto"/>
          <w:sz w:val="20"/>
          <w:szCs w:val="22"/>
          <w:lang w:val="en-US"/>
        </w:rPr>
        <w:t>[DateTime2]</w:t>
      </w:r>
      <w:r w:rsidRPr="00163C33">
        <w:rPr>
          <w:rFonts w:ascii="Courier New" w:hAnsi="Courier New" w:cs="Courier New"/>
          <w:color w:val="auto"/>
          <w:sz w:val="20"/>
          <w:szCs w:val="22"/>
          <w:lang w:val="en-US"/>
        </w:rPr>
        <w:t>,[record</w:t>
      </w:r>
      <w:r>
        <w:rPr>
          <w:rFonts w:ascii="Courier New" w:hAnsi="Courier New" w:cs="Courier New"/>
          <w:color w:val="auto"/>
          <w:sz w:val="20"/>
          <w:szCs w:val="22"/>
          <w:lang w:val="en-US"/>
        </w:rPr>
        <w:t>2_</w:t>
      </w:r>
      <w:r w:rsidRPr="00163C33">
        <w:rPr>
          <w:rFonts w:ascii="Courier New" w:hAnsi="Courier New" w:cs="Courier New"/>
          <w:color w:val="auto"/>
          <w:sz w:val="20"/>
          <w:szCs w:val="22"/>
          <w:lang w:val="en-US"/>
        </w:rPr>
        <w:t>1],[record</w:t>
      </w:r>
      <w:r>
        <w:rPr>
          <w:rFonts w:ascii="Courier New" w:hAnsi="Courier New" w:cs="Courier New"/>
          <w:color w:val="auto"/>
          <w:sz w:val="20"/>
          <w:szCs w:val="22"/>
          <w:lang w:val="en-US"/>
        </w:rPr>
        <w:t>2_</w:t>
      </w:r>
      <w:r w:rsidRPr="00163C33">
        <w:rPr>
          <w:rFonts w:ascii="Courier New" w:hAnsi="Courier New" w:cs="Courier New"/>
          <w:color w:val="auto"/>
          <w:sz w:val="20"/>
          <w:szCs w:val="22"/>
          <w:lang w:val="en-US"/>
        </w:rPr>
        <w:t>2], … ,[record</w:t>
      </w:r>
      <w:r>
        <w:rPr>
          <w:rFonts w:ascii="Courier New" w:hAnsi="Courier New" w:cs="Courier New"/>
          <w:color w:val="auto"/>
          <w:sz w:val="20"/>
          <w:szCs w:val="22"/>
          <w:lang w:val="en-US"/>
        </w:rPr>
        <w:t>2_</w:t>
      </w:r>
      <w:r w:rsidRPr="00163C33">
        <w:rPr>
          <w:rFonts w:ascii="Courier New" w:hAnsi="Courier New" w:cs="Courier New"/>
          <w:color w:val="auto"/>
          <w:sz w:val="20"/>
          <w:szCs w:val="22"/>
          <w:lang w:val="en-US"/>
        </w:rPr>
        <w:t xml:space="preserve">X] </w:t>
      </w:r>
    </w:p>
    <w:p w14:paraId="66C82E69" w14:textId="77777777" w:rsidR="00DC6173" w:rsidRPr="00305978" w:rsidRDefault="00DC6173" w:rsidP="00DC6173">
      <w:pPr>
        <w:pStyle w:val="Default"/>
        <w:rPr>
          <w:rFonts w:ascii="Courier New" w:hAnsi="Courier New" w:cs="Courier New"/>
          <w:color w:val="auto"/>
          <w:sz w:val="20"/>
          <w:szCs w:val="22"/>
        </w:rPr>
      </w:pPr>
      <w:r w:rsidRPr="00305978">
        <w:rPr>
          <w:rFonts w:ascii="Courier New" w:hAnsi="Courier New" w:cs="Courier New"/>
          <w:color w:val="auto"/>
          <w:sz w:val="20"/>
          <w:szCs w:val="22"/>
        </w:rPr>
        <w:t>etc.</w:t>
      </w:r>
    </w:p>
    <w:p w14:paraId="28A955E0" w14:textId="77777777" w:rsidR="00DC6173" w:rsidRPr="00D76CC5" w:rsidRDefault="00DC6173" w:rsidP="00DC6173">
      <w:pPr>
        <w:pStyle w:val="Default"/>
        <w:rPr>
          <w:rFonts w:ascii="Courier New" w:hAnsi="Courier New" w:cs="Courier New"/>
          <w:color w:val="auto"/>
          <w:sz w:val="20"/>
          <w:szCs w:val="22"/>
        </w:rPr>
      </w:pPr>
    </w:p>
    <w:p w14:paraId="03504327" w14:textId="77777777" w:rsidR="00DC6173" w:rsidRPr="00411D96" w:rsidRDefault="00DC6173" w:rsidP="00DC6173">
      <w:pPr>
        <w:pStyle w:val="Brdtext"/>
        <w:rPr>
          <w:rFonts w:asciiTheme="minorHAnsi" w:hAnsiTheme="minorHAnsi"/>
        </w:rPr>
      </w:pPr>
      <w:r w:rsidRPr="00411D96">
        <w:rPr>
          <w:rFonts w:asciiTheme="minorHAnsi" w:hAnsiTheme="minorHAnsi"/>
        </w:rPr>
        <w:t xml:space="preserve">Kolumner som ska ingå specificeras nedan, inklusive rubrikrad och datatyp. </w:t>
      </w:r>
    </w:p>
    <w:p w14:paraId="392CDB4D" w14:textId="77777777" w:rsidR="00DC6173" w:rsidRPr="00411D96" w:rsidRDefault="00DC6173" w:rsidP="00DC6173">
      <w:pPr>
        <w:pStyle w:val="Brdtext"/>
        <w:numPr>
          <w:ilvl w:val="0"/>
          <w:numId w:val="36"/>
        </w:numPr>
        <w:rPr>
          <w:rFonts w:asciiTheme="minorHAnsi" w:hAnsiTheme="minorHAnsi"/>
        </w:rPr>
      </w:pPr>
      <w:r w:rsidRPr="00411D96">
        <w:rPr>
          <w:rFonts w:asciiTheme="minorHAnsi" w:hAnsiTheme="minorHAnsi"/>
        </w:rPr>
        <w:lastRenderedPageBreak/>
        <w:t>DateTime = Datum och tid på formatet YYYYMMDDThhmmss.nnn, där n är decimaler av en sekund, ex. 20200601T093702.302.</w:t>
      </w:r>
    </w:p>
    <w:p w14:paraId="08E5F24B" w14:textId="77777777" w:rsidR="00DC6173" w:rsidRDefault="00DC6173" w:rsidP="00DC6173">
      <w:pPr>
        <w:pStyle w:val="Brdtext"/>
        <w:numPr>
          <w:ilvl w:val="0"/>
          <w:numId w:val="36"/>
        </w:numPr>
        <w:rPr>
          <w:rFonts w:asciiTheme="minorHAnsi" w:hAnsiTheme="minorHAnsi"/>
        </w:rPr>
      </w:pPr>
      <w:r w:rsidRPr="00411D96">
        <w:rPr>
          <w:rFonts w:asciiTheme="minorHAnsi" w:hAnsiTheme="minorHAnsi"/>
        </w:rPr>
        <w:t>InsAcPow = Momentan uppmätt akt</w:t>
      </w:r>
      <w:r>
        <w:rPr>
          <w:rFonts w:asciiTheme="minorHAnsi" w:hAnsiTheme="minorHAnsi"/>
        </w:rPr>
        <w:t>iv effekt i [MW], angiven som en</w:t>
      </w:r>
      <w:r w:rsidRPr="00411D96">
        <w:rPr>
          <w:rFonts w:asciiTheme="minorHAnsi" w:hAnsiTheme="minorHAnsi"/>
        </w:rPr>
        <w:t xml:space="preserve"> </w:t>
      </w:r>
      <w:r>
        <w:rPr>
          <w:rFonts w:asciiTheme="minorHAnsi" w:hAnsiTheme="minorHAnsi"/>
        </w:rPr>
        <w:t>double med minst två</w:t>
      </w:r>
      <w:r w:rsidRPr="00411D96">
        <w:rPr>
          <w:rFonts w:asciiTheme="minorHAnsi" w:hAnsiTheme="minorHAnsi"/>
        </w:rPr>
        <w:t xml:space="preserve"> decimal</w:t>
      </w:r>
      <w:r>
        <w:rPr>
          <w:rFonts w:asciiTheme="minorHAnsi" w:hAnsiTheme="minorHAnsi"/>
        </w:rPr>
        <w:t>er</w:t>
      </w:r>
      <w:r w:rsidRPr="00411D96">
        <w:rPr>
          <w:rFonts w:asciiTheme="minorHAnsi" w:hAnsiTheme="minorHAnsi"/>
        </w:rPr>
        <w:t>, ex. 120.5</w:t>
      </w:r>
      <w:r>
        <w:rPr>
          <w:rFonts w:asciiTheme="minorHAnsi" w:hAnsiTheme="minorHAnsi"/>
        </w:rPr>
        <w:t>0</w:t>
      </w:r>
    </w:p>
    <w:p w14:paraId="788CDF24" w14:textId="77777777" w:rsidR="00DC6173" w:rsidRDefault="00DC6173" w:rsidP="00DC6173">
      <w:pPr>
        <w:pStyle w:val="Brdtext"/>
        <w:numPr>
          <w:ilvl w:val="0"/>
          <w:numId w:val="36"/>
        </w:numPr>
        <w:rPr>
          <w:rFonts w:asciiTheme="minorHAnsi" w:hAnsiTheme="minorHAnsi"/>
        </w:rPr>
      </w:pPr>
      <w:r w:rsidRPr="00961513">
        <w:rPr>
          <w:rFonts w:asciiTheme="minorHAnsi" w:hAnsiTheme="minorHAnsi"/>
        </w:rPr>
        <w:t>AfrrSetP = aFRR-börvärde i [MW], angiven som en double</w:t>
      </w:r>
      <w:r>
        <w:rPr>
          <w:rFonts w:asciiTheme="minorHAnsi" w:hAnsiTheme="minorHAnsi"/>
        </w:rPr>
        <w:t>, ex.</w:t>
      </w:r>
      <w:r w:rsidRPr="00961513">
        <w:rPr>
          <w:rFonts w:asciiTheme="minorHAnsi" w:hAnsiTheme="minorHAnsi"/>
        </w:rPr>
        <w:t xml:space="preserve"> 20</w:t>
      </w:r>
    </w:p>
    <w:p w14:paraId="4F59553F" w14:textId="54B22EC0" w:rsidR="00DC6173" w:rsidRPr="00961513" w:rsidRDefault="00DC6173" w:rsidP="00DC6173">
      <w:pPr>
        <w:pStyle w:val="Brdtext"/>
        <w:numPr>
          <w:ilvl w:val="0"/>
          <w:numId w:val="36"/>
        </w:numPr>
        <w:rPr>
          <w:rFonts w:asciiTheme="minorHAnsi" w:hAnsiTheme="minorHAnsi"/>
        </w:rPr>
      </w:pPr>
      <w:r>
        <w:t>AfrrAct = Levererad aFRR i [MW], angiven som en double med minst två decimaler</w:t>
      </w:r>
      <w:r w:rsidR="000D6BB5">
        <w:t>, ex</w:t>
      </w:r>
      <w:r>
        <w:t xml:space="preserve"> 20.12</w:t>
      </w:r>
    </w:p>
    <w:p w14:paraId="312844C1" w14:textId="29E7E76D" w:rsidR="00DC6173" w:rsidRPr="00961513" w:rsidRDefault="00DC6173" w:rsidP="00DC6173">
      <w:pPr>
        <w:pStyle w:val="Brdtext"/>
        <w:numPr>
          <w:ilvl w:val="0"/>
          <w:numId w:val="36"/>
        </w:numPr>
        <w:rPr>
          <w:rFonts w:asciiTheme="minorHAnsi" w:hAnsiTheme="minorHAnsi"/>
        </w:rPr>
      </w:pPr>
      <w:r>
        <w:t>AfrrUpCap = Tillgänglig kapacitet för aFRR uppreglering i [MW], angiven som en double med minst en decimal</w:t>
      </w:r>
      <w:r w:rsidR="000D6BB5">
        <w:t>, ex.</w:t>
      </w:r>
      <w:r>
        <w:t xml:space="preserve"> 20.1</w:t>
      </w:r>
    </w:p>
    <w:p w14:paraId="70E2650B" w14:textId="2B93C43F" w:rsidR="00DC6173" w:rsidRPr="00095F42" w:rsidRDefault="00DC6173" w:rsidP="00DC6173">
      <w:pPr>
        <w:pStyle w:val="Brdtext"/>
        <w:numPr>
          <w:ilvl w:val="0"/>
          <w:numId w:val="36"/>
        </w:numPr>
        <w:rPr>
          <w:rFonts w:asciiTheme="minorHAnsi" w:hAnsiTheme="minorHAnsi"/>
        </w:rPr>
      </w:pPr>
      <w:r>
        <w:t>AfrrDownCap = Tillgänglig kapacitet för aFRR nedreglering i [MW], angiven som en double med minst en decimal</w:t>
      </w:r>
      <w:r w:rsidR="000D6BB5">
        <w:t>, ex.</w:t>
      </w:r>
      <w:r>
        <w:t xml:space="preserve"> 20.1</w:t>
      </w:r>
    </w:p>
    <w:p w14:paraId="09E69653" w14:textId="23B94DB2" w:rsidR="00095F42" w:rsidRDefault="00095F42" w:rsidP="00095F42">
      <w:pPr>
        <w:pStyle w:val="Brdtext"/>
        <w:numPr>
          <w:ilvl w:val="0"/>
          <w:numId w:val="36"/>
        </w:numPr>
        <w:rPr>
          <w:rFonts w:asciiTheme="minorHAnsi" w:hAnsiTheme="minorHAnsi"/>
        </w:rPr>
      </w:pPr>
      <w:r w:rsidRPr="00095F42">
        <w:rPr>
          <w:rFonts w:asciiTheme="minorHAnsi" w:hAnsiTheme="minorHAnsi"/>
        </w:rPr>
        <w:t>ContStatusAfrr = Kontrollsignal för om enhet</w:t>
      </w:r>
      <w:r>
        <w:rPr>
          <w:rFonts w:asciiTheme="minorHAnsi" w:hAnsiTheme="minorHAnsi"/>
        </w:rPr>
        <w:t xml:space="preserve">en eller gruppen är tillgänglig </w:t>
      </w:r>
      <w:r w:rsidRPr="00095F42">
        <w:rPr>
          <w:rFonts w:asciiTheme="minorHAnsi" w:hAnsiTheme="minorHAnsi"/>
        </w:rPr>
        <w:t>för utstyrning av aFRR, boolesk indikator [1/0</w:t>
      </w:r>
      <w:r>
        <w:rPr>
          <w:rFonts w:asciiTheme="minorHAnsi" w:hAnsiTheme="minorHAnsi"/>
        </w:rPr>
        <w:t xml:space="preserve">] med tillgänglig (=1) eller ej </w:t>
      </w:r>
      <w:r w:rsidRPr="00095F42">
        <w:rPr>
          <w:rFonts w:asciiTheme="minorHAnsi" w:hAnsiTheme="minorHAnsi"/>
        </w:rPr>
        <w:t>tillgänglig (=0)</w:t>
      </w:r>
      <w:r w:rsidR="00D471EB">
        <w:rPr>
          <w:rFonts w:asciiTheme="minorHAnsi" w:hAnsiTheme="minorHAnsi"/>
        </w:rPr>
        <w:t>.</w:t>
      </w:r>
    </w:p>
    <w:p w14:paraId="16E6746B" w14:textId="32C92FB5" w:rsidR="00026EBD" w:rsidRPr="001C0F98" w:rsidRDefault="00026EBD" w:rsidP="00026EBD">
      <w:pPr>
        <w:pStyle w:val="Liststycke"/>
        <w:numPr>
          <w:ilvl w:val="0"/>
          <w:numId w:val="36"/>
        </w:numPr>
        <w:spacing w:before="240"/>
      </w:pPr>
      <w:r w:rsidRPr="001C0F98">
        <w:t>RefAcPow = Referensvärde aktiv effekt i [MW], angiven som en double med minst tre decimaler, ex 120.500</w:t>
      </w:r>
    </w:p>
    <w:p w14:paraId="384B5B65" w14:textId="19EE3355" w:rsidR="00DC6173" w:rsidRPr="00411D96" w:rsidRDefault="00DC6173" w:rsidP="00DC6173">
      <w:pPr>
        <w:pStyle w:val="Brdtext"/>
        <w:rPr>
          <w:rFonts w:asciiTheme="minorHAnsi" w:hAnsiTheme="minorHAnsi"/>
        </w:rPr>
      </w:pPr>
      <w:r w:rsidRPr="00411D96">
        <w:rPr>
          <w:rFonts w:asciiTheme="minorHAnsi" w:hAnsiTheme="minorHAnsi"/>
          <w:noProof/>
        </w:rPr>
        <mc:AlternateContent>
          <mc:Choice Requires="wps">
            <w:drawing>
              <wp:anchor distT="0" distB="0" distL="114300" distR="114300" simplePos="0" relativeHeight="251659264" behindDoc="0" locked="0" layoutInCell="1" allowOverlap="1" wp14:anchorId="35C6BCD8" wp14:editId="6B55A2A3">
                <wp:simplePos x="0" y="0"/>
                <wp:positionH relativeFrom="column">
                  <wp:posOffset>4445</wp:posOffset>
                </wp:positionH>
                <wp:positionV relativeFrom="paragraph">
                  <wp:posOffset>449580</wp:posOffset>
                </wp:positionV>
                <wp:extent cx="5231765" cy="802640"/>
                <wp:effectExtent l="19050" t="19050" r="26035" b="18415"/>
                <wp:wrapTopAndBottom/>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765" cy="802640"/>
                        </a:xfrm>
                        <a:prstGeom prst="rect">
                          <a:avLst/>
                        </a:prstGeom>
                        <a:solidFill>
                          <a:schemeClr val="bg1">
                            <a:lumMod val="95000"/>
                          </a:schemeClr>
                        </a:solidFill>
                        <a:ln w="28575">
                          <a:solidFill>
                            <a:schemeClr val="bg1">
                              <a:lumMod val="65000"/>
                            </a:schemeClr>
                          </a:solidFill>
                          <a:miter lim="800000"/>
                          <a:headEnd/>
                          <a:tailEnd/>
                        </a:ln>
                      </wps:spPr>
                      <wps:txbx>
                        <w:txbxContent>
                          <w:p w14:paraId="162807C2" w14:textId="13957345" w:rsidR="005C62AB" w:rsidRPr="001C0F98" w:rsidRDefault="005C62AB" w:rsidP="00DC6173">
                            <w:pPr>
                              <w:rPr>
                                <w:rFonts w:ascii="Courier New" w:hAnsi="Courier New" w:cs="Courier New"/>
                                <w:sz w:val="20"/>
                                <w:szCs w:val="20"/>
                                <w:lang w:val="en-US"/>
                              </w:rPr>
                            </w:pPr>
                            <w:r w:rsidRPr="00455363">
                              <w:rPr>
                                <w:rFonts w:ascii="Courier New" w:hAnsi="Courier New" w:cs="Courier New"/>
                                <w:sz w:val="20"/>
                                <w:szCs w:val="20"/>
                                <w:lang w:val="en-US"/>
                              </w:rPr>
                              <w:t>DateTime, InsAcPow</w:t>
                            </w:r>
                            <w:r>
                              <w:rPr>
                                <w:rFonts w:ascii="Courier New" w:hAnsi="Courier New" w:cs="Courier New"/>
                                <w:sz w:val="20"/>
                                <w:szCs w:val="20"/>
                                <w:lang w:val="en-US"/>
                              </w:rPr>
                              <w:t xml:space="preserve">, AfrrSetP, </w:t>
                            </w:r>
                            <w:r w:rsidRPr="00766328">
                              <w:rPr>
                                <w:rFonts w:ascii="Courier New" w:hAnsi="Courier New" w:cs="Courier New"/>
                                <w:sz w:val="20"/>
                                <w:szCs w:val="20"/>
                                <w:lang w:val="en-US"/>
                              </w:rPr>
                              <w:t>AfrrAct</w:t>
                            </w:r>
                            <w:r>
                              <w:rPr>
                                <w:rFonts w:ascii="Courier New" w:hAnsi="Courier New" w:cs="Courier New"/>
                                <w:sz w:val="20"/>
                                <w:szCs w:val="20"/>
                                <w:lang w:val="en-US"/>
                              </w:rPr>
                              <w:t xml:space="preserve">, </w:t>
                            </w:r>
                            <w:r w:rsidRPr="00766328">
                              <w:rPr>
                                <w:rFonts w:ascii="Courier New" w:hAnsi="Courier New" w:cs="Courier New"/>
                                <w:sz w:val="20"/>
                                <w:szCs w:val="20"/>
                                <w:lang w:val="en-US"/>
                              </w:rPr>
                              <w:t>AfrrUpCap</w:t>
                            </w:r>
                            <w:r>
                              <w:rPr>
                                <w:rFonts w:ascii="Courier New" w:hAnsi="Courier New" w:cs="Courier New"/>
                                <w:sz w:val="20"/>
                                <w:szCs w:val="20"/>
                                <w:lang w:val="en-US"/>
                              </w:rPr>
                              <w:t xml:space="preserve">, </w:t>
                            </w:r>
                            <w:r w:rsidRPr="00095F42">
                              <w:rPr>
                                <w:rFonts w:ascii="Courier New" w:hAnsi="Courier New" w:cs="Courier New"/>
                                <w:sz w:val="20"/>
                                <w:szCs w:val="20"/>
                                <w:lang w:val="en-US"/>
                              </w:rPr>
                              <w:t>ContStatusAfrr</w:t>
                            </w:r>
                            <w:r>
                              <w:rPr>
                                <w:rFonts w:ascii="Courier New" w:hAnsi="Courier New" w:cs="Courier New"/>
                                <w:sz w:val="20"/>
                                <w:szCs w:val="20"/>
                                <w:lang w:val="en-US"/>
                              </w:rPr>
                              <w:t xml:space="preserve">, </w:t>
                            </w:r>
                            <w:r w:rsidRPr="001C0F98">
                              <w:rPr>
                                <w:rFonts w:ascii="Courier New" w:hAnsi="Courier New" w:cs="Courier New"/>
                                <w:sz w:val="20"/>
                                <w:szCs w:val="20"/>
                                <w:lang w:val="en-US"/>
                              </w:rPr>
                              <w:t>RefAcPoq</w:t>
                            </w:r>
                          </w:p>
                          <w:p w14:paraId="18BE65A3" w14:textId="59EB5D8D" w:rsidR="005C62AB" w:rsidRPr="001C0F98" w:rsidRDefault="005C62AB" w:rsidP="00DC6173">
                            <w:pPr>
                              <w:rPr>
                                <w:rFonts w:ascii="Courier New" w:hAnsi="Courier New" w:cs="Courier New"/>
                                <w:sz w:val="20"/>
                                <w:szCs w:val="20"/>
                                <w:lang w:val="en-US"/>
                              </w:rPr>
                            </w:pPr>
                            <w:r w:rsidRPr="001C0F98">
                              <w:rPr>
                                <w:rFonts w:ascii="Courier New" w:hAnsi="Courier New" w:cs="Courier New"/>
                                <w:sz w:val="20"/>
                                <w:szCs w:val="20"/>
                                <w:lang w:val="en-US"/>
                              </w:rPr>
                              <w:t>20200601T093702.302, 120.50, 20, 20.12,</w:t>
                            </w:r>
                            <w:r w:rsidRPr="001C0F98">
                              <w:rPr>
                                <w:lang w:val="en-US"/>
                              </w:rPr>
                              <w:t xml:space="preserve"> </w:t>
                            </w:r>
                            <w:r w:rsidRPr="001C0F98">
                              <w:rPr>
                                <w:rFonts w:ascii="Courier New" w:hAnsi="Courier New" w:cs="Courier New"/>
                                <w:sz w:val="20"/>
                                <w:szCs w:val="20"/>
                                <w:lang w:val="en-US"/>
                              </w:rPr>
                              <w:t>20.1, 1, 120.500</w:t>
                            </w:r>
                          </w:p>
                          <w:p w14:paraId="5B4DCE9E" w14:textId="6971C9A6" w:rsidR="005C62AB" w:rsidRPr="001C0F98" w:rsidRDefault="005C62AB" w:rsidP="00DC6173">
                            <w:pPr>
                              <w:rPr>
                                <w:rFonts w:ascii="Courier New" w:hAnsi="Courier New" w:cs="Courier New"/>
                                <w:sz w:val="20"/>
                                <w:szCs w:val="20"/>
                                <w:lang w:val="en-US"/>
                              </w:rPr>
                            </w:pPr>
                            <w:r w:rsidRPr="001C0F98">
                              <w:rPr>
                                <w:rFonts w:ascii="Courier New" w:hAnsi="Courier New" w:cs="Courier New"/>
                                <w:sz w:val="20"/>
                                <w:szCs w:val="20"/>
                                <w:lang w:val="en-US"/>
                              </w:rPr>
                              <w:t>20200601T093703.302, 120.50, 20, 20.12,</w:t>
                            </w:r>
                            <w:r w:rsidRPr="001C0F98">
                              <w:t xml:space="preserve"> </w:t>
                            </w:r>
                            <w:r w:rsidRPr="001C0F98">
                              <w:rPr>
                                <w:rFonts w:ascii="Courier New" w:hAnsi="Courier New" w:cs="Courier New"/>
                                <w:sz w:val="20"/>
                                <w:szCs w:val="20"/>
                                <w:lang w:val="en-US"/>
                              </w:rPr>
                              <w:t>20.1, 1, 120.500</w:t>
                            </w:r>
                          </w:p>
                          <w:p w14:paraId="52FC6A46" w14:textId="28FBEA9A" w:rsidR="005C62AB" w:rsidRPr="001C0F98" w:rsidRDefault="005C62AB" w:rsidP="00DC6173">
                            <w:pPr>
                              <w:rPr>
                                <w:rFonts w:ascii="Courier New" w:hAnsi="Courier New" w:cs="Courier New"/>
                                <w:sz w:val="20"/>
                                <w:szCs w:val="20"/>
                                <w:lang w:val="en-US"/>
                              </w:rPr>
                            </w:pPr>
                            <w:r w:rsidRPr="001C0F98">
                              <w:rPr>
                                <w:rFonts w:ascii="Courier New" w:hAnsi="Courier New" w:cs="Courier New"/>
                                <w:sz w:val="20"/>
                                <w:szCs w:val="20"/>
                                <w:lang w:val="en-US"/>
                              </w:rPr>
                              <w:t>20200601T093704.302, 115.30, 20, 20.12,</w:t>
                            </w:r>
                            <w:r w:rsidRPr="001C0F98">
                              <w:t xml:space="preserve"> </w:t>
                            </w:r>
                            <w:r w:rsidRPr="001C0F98">
                              <w:rPr>
                                <w:rFonts w:ascii="Courier New" w:hAnsi="Courier New" w:cs="Courier New"/>
                                <w:sz w:val="20"/>
                                <w:szCs w:val="20"/>
                                <w:lang w:val="en-US"/>
                              </w:rPr>
                              <w:t>20.1, 1, 120.500</w:t>
                            </w:r>
                          </w:p>
                          <w:p w14:paraId="3885E854" w14:textId="3A61FB9A" w:rsidR="005C62AB" w:rsidRPr="008611E7" w:rsidRDefault="005C62AB" w:rsidP="00DC6173">
                            <w:pPr>
                              <w:rPr>
                                <w:rFonts w:ascii="Courier New" w:hAnsi="Courier New" w:cs="Courier New"/>
                                <w:sz w:val="20"/>
                                <w:szCs w:val="20"/>
                                <w:lang w:val="en-US"/>
                              </w:rPr>
                            </w:pPr>
                            <w:r w:rsidRPr="001C0F98">
                              <w:rPr>
                                <w:rFonts w:ascii="Courier New" w:hAnsi="Courier New" w:cs="Courier New"/>
                                <w:sz w:val="20"/>
                                <w:szCs w:val="20"/>
                                <w:lang w:val="en-US"/>
                              </w:rPr>
                              <w:t>20200601T093705.302, 111.00, 20, 20.12,</w:t>
                            </w:r>
                            <w:r w:rsidRPr="001C0F98">
                              <w:t xml:space="preserve"> </w:t>
                            </w:r>
                            <w:r w:rsidRPr="001C0F98">
                              <w:rPr>
                                <w:rFonts w:ascii="Courier New" w:hAnsi="Courier New" w:cs="Courier New"/>
                                <w:sz w:val="20"/>
                                <w:szCs w:val="20"/>
                                <w:lang w:val="en-US"/>
                              </w:rPr>
                              <w:t>20.1, 1, 120.500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5C6BCD8" id="_x0000_t202" coordsize="21600,21600" o:spt="202" path="m,l,21600r21600,l21600,xe">
                <v:stroke joinstyle="miter"/>
                <v:path gradientshapeok="t" o:connecttype="rect"/>
              </v:shapetype>
              <v:shape id="Textruta 2" o:spid="_x0000_s1026" type="#_x0000_t202" style="position:absolute;margin-left:.35pt;margin-top:35.4pt;width:411.95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" fillcolor="#f2f2f2 [3052]" strokecolor="#a5a5a5 [2092]" strokeweight="2.25pt">
                <v:textbox style="mso-fit-shape-to-text:t">
                  <w:txbxContent>
                    <w:p w14:paraId="162807C2" w14:textId="13957345" w:rsidR="005C62AB" w:rsidRPr="001C0F98" w:rsidRDefault="005C62AB" w:rsidP="00DC6173">
                      <w:pPr>
                        <w:rPr>
                          <w:rFonts w:ascii="Courier New" w:hAnsi="Courier New" w:cs="Courier New"/>
                          <w:sz w:val="20"/>
                          <w:szCs w:val="20"/>
                          <w:lang w:val="en-US"/>
                        </w:rPr>
                      </w:pPr>
                      <w:r w:rsidRPr="00455363">
                        <w:rPr>
                          <w:rFonts w:ascii="Courier New" w:hAnsi="Courier New" w:cs="Courier New"/>
                          <w:sz w:val="20"/>
                          <w:szCs w:val="20"/>
                          <w:lang w:val="en-US"/>
                        </w:rPr>
                        <w:t>DateTime, InsAcPow</w:t>
                      </w:r>
                      <w:r>
                        <w:rPr>
                          <w:rFonts w:ascii="Courier New" w:hAnsi="Courier New" w:cs="Courier New"/>
                          <w:sz w:val="20"/>
                          <w:szCs w:val="20"/>
                          <w:lang w:val="en-US"/>
                        </w:rPr>
                        <w:t xml:space="preserve">, AfrrSetP, </w:t>
                      </w:r>
                      <w:r w:rsidRPr="00766328">
                        <w:rPr>
                          <w:rFonts w:ascii="Courier New" w:hAnsi="Courier New" w:cs="Courier New"/>
                          <w:sz w:val="20"/>
                          <w:szCs w:val="20"/>
                          <w:lang w:val="en-US"/>
                        </w:rPr>
                        <w:t>AfrrAct</w:t>
                      </w:r>
                      <w:r>
                        <w:rPr>
                          <w:rFonts w:ascii="Courier New" w:hAnsi="Courier New" w:cs="Courier New"/>
                          <w:sz w:val="20"/>
                          <w:szCs w:val="20"/>
                          <w:lang w:val="en-US"/>
                        </w:rPr>
                        <w:t xml:space="preserve">, </w:t>
                      </w:r>
                      <w:r w:rsidRPr="00766328">
                        <w:rPr>
                          <w:rFonts w:ascii="Courier New" w:hAnsi="Courier New" w:cs="Courier New"/>
                          <w:sz w:val="20"/>
                          <w:szCs w:val="20"/>
                          <w:lang w:val="en-US"/>
                        </w:rPr>
                        <w:t>AfrrUpCap</w:t>
                      </w:r>
                      <w:r>
                        <w:rPr>
                          <w:rFonts w:ascii="Courier New" w:hAnsi="Courier New" w:cs="Courier New"/>
                          <w:sz w:val="20"/>
                          <w:szCs w:val="20"/>
                          <w:lang w:val="en-US"/>
                        </w:rPr>
                        <w:t xml:space="preserve">, </w:t>
                      </w:r>
                      <w:r w:rsidRPr="00095F42">
                        <w:rPr>
                          <w:rFonts w:ascii="Courier New" w:hAnsi="Courier New" w:cs="Courier New"/>
                          <w:sz w:val="20"/>
                          <w:szCs w:val="20"/>
                          <w:lang w:val="en-US"/>
                        </w:rPr>
                        <w:t>ContStatusAfrr</w:t>
                      </w:r>
                      <w:r>
                        <w:rPr>
                          <w:rFonts w:ascii="Courier New" w:hAnsi="Courier New" w:cs="Courier New"/>
                          <w:sz w:val="20"/>
                          <w:szCs w:val="20"/>
                          <w:lang w:val="en-US"/>
                        </w:rPr>
                        <w:t xml:space="preserve">, </w:t>
                      </w:r>
                      <w:r w:rsidRPr="001C0F98">
                        <w:rPr>
                          <w:rFonts w:ascii="Courier New" w:hAnsi="Courier New" w:cs="Courier New"/>
                          <w:sz w:val="20"/>
                          <w:szCs w:val="20"/>
                          <w:lang w:val="en-US"/>
                        </w:rPr>
                        <w:t>RefAcPoq</w:t>
                      </w:r>
                    </w:p>
                    <w:p w14:paraId="18BE65A3" w14:textId="59EB5D8D" w:rsidR="005C62AB" w:rsidRPr="001C0F98" w:rsidRDefault="005C62AB" w:rsidP="00DC6173">
                      <w:pPr>
                        <w:rPr>
                          <w:rFonts w:ascii="Courier New" w:hAnsi="Courier New" w:cs="Courier New"/>
                          <w:sz w:val="20"/>
                          <w:szCs w:val="20"/>
                          <w:lang w:val="en-US"/>
                        </w:rPr>
                      </w:pPr>
                      <w:r w:rsidRPr="001C0F98">
                        <w:rPr>
                          <w:rFonts w:ascii="Courier New" w:hAnsi="Courier New" w:cs="Courier New"/>
                          <w:sz w:val="20"/>
                          <w:szCs w:val="20"/>
                          <w:lang w:val="en-US"/>
                        </w:rPr>
                        <w:t>20200601T093702.302, 120.50, 20, 20.12,</w:t>
                      </w:r>
                      <w:r w:rsidRPr="001C0F98">
                        <w:rPr>
                          <w:lang w:val="en-US"/>
                        </w:rPr>
                        <w:t xml:space="preserve"> </w:t>
                      </w:r>
                      <w:r w:rsidRPr="001C0F98">
                        <w:rPr>
                          <w:rFonts w:ascii="Courier New" w:hAnsi="Courier New" w:cs="Courier New"/>
                          <w:sz w:val="20"/>
                          <w:szCs w:val="20"/>
                          <w:lang w:val="en-US"/>
                        </w:rPr>
                        <w:t>20.1, 1, 120.500</w:t>
                      </w:r>
                    </w:p>
                    <w:p w14:paraId="5B4DCE9E" w14:textId="6971C9A6" w:rsidR="005C62AB" w:rsidRPr="001C0F98" w:rsidRDefault="005C62AB" w:rsidP="00DC6173">
                      <w:pPr>
                        <w:rPr>
                          <w:rFonts w:ascii="Courier New" w:hAnsi="Courier New" w:cs="Courier New"/>
                          <w:sz w:val="20"/>
                          <w:szCs w:val="20"/>
                          <w:lang w:val="en-US"/>
                        </w:rPr>
                      </w:pPr>
                      <w:r w:rsidRPr="001C0F98">
                        <w:rPr>
                          <w:rFonts w:ascii="Courier New" w:hAnsi="Courier New" w:cs="Courier New"/>
                          <w:sz w:val="20"/>
                          <w:szCs w:val="20"/>
                          <w:lang w:val="en-US"/>
                        </w:rPr>
                        <w:t>20200601T093703.302, 120.50, 20, 20.12,</w:t>
                      </w:r>
                      <w:r w:rsidRPr="001C0F98">
                        <w:t xml:space="preserve"> </w:t>
                      </w:r>
                      <w:r w:rsidRPr="001C0F98">
                        <w:rPr>
                          <w:rFonts w:ascii="Courier New" w:hAnsi="Courier New" w:cs="Courier New"/>
                          <w:sz w:val="20"/>
                          <w:szCs w:val="20"/>
                          <w:lang w:val="en-US"/>
                        </w:rPr>
                        <w:t>20.1, 1, 120.500</w:t>
                      </w:r>
                    </w:p>
                    <w:p w14:paraId="52FC6A46" w14:textId="28FBEA9A" w:rsidR="005C62AB" w:rsidRPr="001C0F98" w:rsidRDefault="005C62AB" w:rsidP="00DC6173">
                      <w:pPr>
                        <w:rPr>
                          <w:rFonts w:ascii="Courier New" w:hAnsi="Courier New" w:cs="Courier New"/>
                          <w:sz w:val="20"/>
                          <w:szCs w:val="20"/>
                          <w:lang w:val="en-US"/>
                        </w:rPr>
                      </w:pPr>
                      <w:r w:rsidRPr="001C0F98">
                        <w:rPr>
                          <w:rFonts w:ascii="Courier New" w:hAnsi="Courier New" w:cs="Courier New"/>
                          <w:sz w:val="20"/>
                          <w:szCs w:val="20"/>
                          <w:lang w:val="en-US"/>
                        </w:rPr>
                        <w:t>20200601T093704.302, 115.30, 20, 20.12,</w:t>
                      </w:r>
                      <w:r w:rsidRPr="001C0F98">
                        <w:t xml:space="preserve"> </w:t>
                      </w:r>
                      <w:r w:rsidRPr="001C0F98">
                        <w:rPr>
                          <w:rFonts w:ascii="Courier New" w:hAnsi="Courier New" w:cs="Courier New"/>
                          <w:sz w:val="20"/>
                          <w:szCs w:val="20"/>
                          <w:lang w:val="en-US"/>
                        </w:rPr>
                        <w:t>20.1, 1, 120.500</w:t>
                      </w:r>
                    </w:p>
                    <w:p w14:paraId="3885E854" w14:textId="3A61FB9A" w:rsidR="005C62AB" w:rsidRPr="008611E7" w:rsidRDefault="005C62AB" w:rsidP="00DC6173">
                      <w:pPr>
                        <w:rPr>
                          <w:rFonts w:ascii="Courier New" w:hAnsi="Courier New" w:cs="Courier New"/>
                          <w:sz w:val="20"/>
                          <w:szCs w:val="20"/>
                          <w:lang w:val="en-US"/>
                        </w:rPr>
                      </w:pPr>
                      <w:r w:rsidRPr="001C0F98">
                        <w:rPr>
                          <w:rFonts w:ascii="Courier New" w:hAnsi="Courier New" w:cs="Courier New"/>
                          <w:sz w:val="20"/>
                          <w:szCs w:val="20"/>
                          <w:lang w:val="en-US"/>
                        </w:rPr>
                        <w:t>20200601T093705.302, 111.00, 20, 20.12,</w:t>
                      </w:r>
                      <w:r w:rsidRPr="001C0F98">
                        <w:t xml:space="preserve"> </w:t>
                      </w:r>
                      <w:r w:rsidRPr="001C0F98">
                        <w:rPr>
                          <w:rFonts w:ascii="Courier New" w:hAnsi="Courier New" w:cs="Courier New"/>
                          <w:sz w:val="20"/>
                          <w:szCs w:val="20"/>
                          <w:lang w:val="en-US"/>
                        </w:rPr>
                        <w:t>20.1, 1, 120.500</w:t>
                      </w:r>
                    </w:p>
                  </w:txbxContent>
                </v:textbox>
                <w10:wrap type="topAndBottom"/>
              </v:shape>
            </w:pict>
          </mc:Fallback>
        </mc:AlternateContent>
      </w:r>
      <w:r w:rsidRPr="00411D96">
        <w:rPr>
          <w:rFonts w:asciiTheme="minorHAnsi" w:hAnsiTheme="minorHAnsi"/>
        </w:rPr>
        <w:t xml:space="preserve">Ett exempel på hur en csv-fil för </w:t>
      </w:r>
      <w:r w:rsidRPr="00EB3533">
        <w:rPr>
          <w:rFonts w:asciiTheme="minorHAnsi" w:hAnsiTheme="minorHAnsi"/>
        </w:rPr>
        <w:t>kapacitetstest ska vara strukturerad visas i</w:t>
      </w:r>
      <w:bookmarkStart w:id="18" w:name="_Ref41313836"/>
      <w:r w:rsidR="00095F42" w:rsidRPr="00EB3533">
        <w:rPr>
          <w:rFonts w:asciiTheme="minorHAnsi" w:hAnsiTheme="minorHAnsi"/>
        </w:rPr>
        <w:t xml:space="preserve"> Figur 5.</w:t>
      </w:r>
    </w:p>
    <w:p w14:paraId="3DFE0A08" w14:textId="2A825EB4" w:rsidR="00DC6173" w:rsidRPr="00045597" w:rsidRDefault="00DC6173" w:rsidP="00DC6173">
      <w:pPr>
        <w:pStyle w:val="Beskrivning"/>
        <w:rPr>
          <w:noProof/>
          <w:sz w:val="20"/>
          <w:szCs w:val="24"/>
        </w:rPr>
      </w:pPr>
      <w:bookmarkStart w:id="19" w:name="_Ref99619190"/>
      <w:bookmarkEnd w:id="18"/>
      <w:r w:rsidRPr="00095F42">
        <w:t xml:space="preserve">Figur </w:t>
      </w:r>
      <w:bookmarkEnd w:id="19"/>
      <w:r w:rsidR="00095F42">
        <w:t>5</w:t>
      </w:r>
      <w:r w:rsidRPr="00095F42">
        <w:t>: Exempel på hur  loggad data ska redovisas under kapacitetstestet, uppreglering.</w:t>
      </w:r>
    </w:p>
    <w:p w14:paraId="55D3B4AA" w14:textId="77777777" w:rsidR="00DC6173" w:rsidRPr="00202A3A" w:rsidRDefault="00DC6173" w:rsidP="00DC6173">
      <w:pPr>
        <w:pStyle w:val="Brdtext"/>
      </w:pPr>
    </w:p>
    <w:p w14:paraId="09BF4379" w14:textId="77777777" w:rsidR="001F054E" w:rsidRDefault="001F054E" w:rsidP="001F054E">
      <w:pPr>
        <w:pStyle w:val="Brdtext"/>
        <w:ind w:left="720"/>
      </w:pPr>
    </w:p>
    <w:p w14:paraId="2B0E7E9A" w14:textId="77777777" w:rsidR="00806740" w:rsidRDefault="00806740">
      <w:pPr>
        <w:spacing w:after="160" w:line="2" w:lineRule="auto"/>
        <w:rPr>
          <w:sz w:val="20"/>
        </w:rPr>
      </w:pPr>
      <w:r>
        <w:br w:type="page"/>
      </w:r>
    </w:p>
    <w:p w14:paraId="7BC8FAA6" w14:textId="4979F784" w:rsidR="004B7B12" w:rsidRDefault="005E4AB9" w:rsidP="005E4AB9">
      <w:pPr>
        <w:pStyle w:val="Bilagerubrik1"/>
      </w:pPr>
      <w:r>
        <w:lastRenderedPageBreak/>
        <w:t xml:space="preserve">Bilaga </w:t>
      </w:r>
      <w:r w:rsidR="00E84903">
        <w:t>1</w:t>
      </w:r>
      <w:r>
        <w:t xml:space="preserve"> – Stegse</w:t>
      </w:r>
      <w:r w:rsidR="00E84903">
        <w:t xml:space="preserve">kvens för </w:t>
      </w:r>
      <w:r w:rsidR="00381A09">
        <w:t>kapacitetstest</w:t>
      </w:r>
    </w:p>
    <w:p w14:paraId="4EF3A97D" w14:textId="57AA681E" w:rsidR="00074ECF" w:rsidRDefault="009668B2" w:rsidP="005E4AB9">
      <w:pPr>
        <w:pStyle w:val="Brdtext"/>
      </w:pPr>
      <w:r>
        <w:t xml:space="preserve">Det fullständiga </w:t>
      </w:r>
      <w:r w:rsidR="00381A09">
        <w:t>kapacitetstestet</w:t>
      </w:r>
      <w:r w:rsidR="00074ECF">
        <w:t xml:space="preserve"> som beskrivs i 4.2 </w:t>
      </w:r>
      <w:r w:rsidR="00381A09">
        <w:t>Kapacitetstest</w:t>
      </w:r>
      <w:r w:rsidR="00074ECF">
        <w:t xml:space="preserve"> kan endast tillämpas för enheter eller grupper som förkvalificerar en maxkapacitet aFRR på 10 MW eller mer. Avser ansökan förkvalificering av en mindre volym aFRR sker en anpassning av stegsekvensen. </w:t>
      </w:r>
    </w:p>
    <w:p w14:paraId="723D5F22" w14:textId="7C211842" w:rsidR="005E4AB9" w:rsidRPr="005E4AB9" w:rsidRDefault="00074ECF" w:rsidP="005E4AB9">
      <w:pPr>
        <w:pStyle w:val="Brdtext"/>
      </w:pPr>
      <w:r>
        <w:t xml:space="preserve">Hur stegsekvensen anpassas </w:t>
      </w:r>
      <w:r w:rsidR="00014C3A">
        <w:t xml:space="preserve">beskrivs i tabellerna nedan, </w:t>
      </w:r>
      <w:r>
        <w:t xml:space="preserve">beroende på maxkapacitet aFRR som ämnas förkvalificeras. </w:t>
      </w:r>
      <w:r w:rsidR="00014C3A">
        <w:t>S</w:t>
      </w:r>
      <w:r>
        <w:t xml:space="preserve">eparata tabeller </w:t>
      </w:r>
      <w:r w:rsidR="00014C3A">
        <w:t xml:space="preserve">anges </w:t>
      </w:r>
      <w:r>
        <w:t>för upp- och nedreglering.</w:t>
      </w:r>
    </w:p>
    <w:p w14:paraId="1D1C00C0" w14:textId="3D068C96" w:rsidR="005E4AB9" w:rsidRPr="005E4AB9" w:rsidRDefault="00DD40BC" w:rsidP="005E4AB9">
      <w:pPr>
        <w:pStyle w:val="Rubrik2"/>
      </w:pPr>
      <w:r>
        <w:t>Maxk</w:t>
      </w:r>
      <w:r w:rsidR="005E4AB9">
        <w:t>apacitet</w:t>
      </w:r>
      <w:r>
        <w:t xml:space="preserve"> aFRR</w:t>
      </w:r>
      <w:r w:rsidR="005E4AB9">
        <w:t xml:space="preserve"> 1 MW, uppreglering</w:t>
      </w:r>
    </w:p>
    <w:tbl>
      <w:tblPr>
        <w:tblStyle w:val="Tabellrutnt"/>
        <w:tblW w:w="0" w:type="auto"/>
        <w:tblLook w:val="04A0" w:firstRow="1" w:lastRow="0" w:firstColumn="1" w:lastColumn="0" w:noHBand="0" w:noVBand="1"/>
      </w:tblPr>
      <w:tblGrid>
        <w:gridCol w:w="2165"/>
        <w:gridCol w:w="2610"/>
        <w:gridCol w:w="2585"/>
      </w:tblGrid>
      <w:tr w:rsidR="005E4AB9" w14:paraId="5F87E199" w14:textId="77777777" w:rsidTr="005E4AB9">
        <w:tc>
          <w:tcPr>
            <w:tcW w:w="2165" w:type="dxa"/>
            <w:shd w:val="clear" w:color="auto" w:fill="D9D9D9" w:themeFill="background1" w:themeFillShade="D9"/>
          </w:tcPr>
          <w:p w14:paraId="1234B006" w14:textId="77777777" w:rsidR="005E4AB9" w:rsidRPr="004674A7" w:rsidRDefault="005E4AB9" w:rsidP="005E4AB9">
            <w:pPr>
              <w:pStyle w:val="Brdtext"/>
              <w:rPr>
                <w:b/>
              </w:rPr>
            </w:pPr>
            <w:r>
              <w:rPr>
                <w:b/>
              </w:rPr>
              <w:t>Steg</w:t>
            </w:r>
          </w:p>
        </w:tc>
        <w:tc>
          <w:tcPr>
            <w:tcW w:w="2610" w:type="dxa"/>
            <w:shd w:val="clear" w:color="auto" w:fill="D9D9D9" w:themeFill="background1" w:themeFillShade="D9"/>
          </w:tcPr>
          <w:p w14:paraId="0A5194C0" w14:textId="77777777" w:rsidR="005E4AB9" w:rsidRPr="004674A7" w:rsidRDefault="005E4AB9" w:rsidP="005E4AB9">
            <w:pPr>
              <w:pStyle w:val="Brdtext"/>
              <w:rPr>
                <w:b/>
              </w:rPr>
            </w:pPr>
            <w:r w:rsidRPr="004674A7">
              <w:rPr>
                <w:b/>
              </w:rPr>
              <w:t>Tid [minuter]</w:t>
            </w:r>
          </w:p>
        </w:tc>
        <w:tc>
          <w:tcPr>
            <w:tcW w:w="2585" w:type="dxa"/>
            <w:shd w:val="clear" w:color="auto" w:fill="D9D9D9" w:themeFill="background1" w:themeFillShade="D9"/>
          </w:tcPr>
          <w:p w14:paraId="76C4308F" w14:textId="77777777" w:rsidR="005E4AB9" w:rsidRPr="004674A7" w:rsidRDefault="005E4AB9" w:rsidP="005E4AB9">
            <w:pPr>
              <w:pStyle w:val="Brdtext"/>
              <w:rPr>
                <w:b/>
              </w:rPr>
            </w:pPr>
            <w:r w:rsidRPr="004674A7">
              <w:rPr>
                <w:b/>
              </w:rPr>
              <w:t>Börvärde aFRR [MW]</w:t>
            </w:r>
          </w:p>
        </w:tc>
      </w:tr>
      <w:tr w:rsidR="005E4AB9" w14:paraId="7D3560C9" w14:textId="77777777" w:rsidTr="005E4AB9">
        <w:tc>
          <w:tcPr>
            <w:tcW w:w="2165" w:type="dxa"/>
          </w:tcPr>
          <w:p w14:paraId="7AE689F6" w14:textId="77777777" w:rsidR="005E4AB9" w:rsidRDefault="005E4AB9" w:rsidP="005E4AB9">
            <w:pPr>
              <w:pStyle w:val="Brdtext"/>
            </w:pPr>
            <w:r>
              <w:t>0</w:t>
            </w:r>
          </w:p>
        </w:tc>
        <w:tc>
          <w:tcPr>
            <w:tcW w:w="2610" w:type="dxa"/>
          </w:tcPr>
          <w:p w14:paraId="7947AB55" w14:textId="77777777" w:rsidR="005E4AB9" w:rsidRDefault="005E4AB9" w:rsidP="005E4AB9">
            <w:pPr>
              <w:pStyle w:val="Brdtext"/>
            </w:pPr>
            <w:r>
              <w:t>0</w:t>
            </w:r>
          </w:p>
        </w:tc>
        <w:tc>
          <w:tcPr>
            <w:tcW w:w="2585" w:type="dxa"/>
          </w:tcPr>
          <w:p w14:paraId="4D84DD94" w14:textId="77777777" w:rsidR="005E4AB9" w:rsidRDefault="005E4AB9" w:rsidP="005E4AB9">
            <w:pPr>
              <w:pStyle w:val="Brdtext"/>
            </w:pPr>
            <w:r>
              <w:t>0</w:t>
            </w:r>
          </w:p>
        </w:tc>
      </w:tr>
      <w:tr w:rsidR="005E4AB9" w14:paraId="296C05BA" w14:textId="77777777" w:rsidTr="005E4AB9">
        <w:tc>
          <w:tcPr>
            <w:tcW w:w="2165" w:type="dxa"/>
          </w:tcPr>
          <w:p w14:paraId="03CF000D" w14:textId="77777777" w:rsidR="005E4AB9" w:rsidRDefault="005E4AB9" w:rsidP="005E4AB9">
            <w:pPr>
              <w:pStyle w:val="Brdtext"/>
            </w:pPr>
            <w:r>
              <w:t>1</w:t>
            </w:r>
          </w:p>
        </w:tc>
        <w:tc>
          <w:tcPr>
            <w:tcW w:w="2610" w:type="dxa"/>
          </w:tcPr>
          <w:p w14:paraId="37419E1B" w14:textId="77777777" w:rsidR="005E4AB9" w:rsidRDefault="005E4AB9" w:rsidP="005E4AB9">
            <w:pPr>
              <w:pStyle w:val="Brdtext"/>
            </w:pPr>
            <w:r>
              <w:t>5</w:t>
            </w:r>
          </w:p>
        </w:tc>
        <w:tc>
          <w:tcPr>
            <w:tcW w:w="2585" w:type="dxa"/>
          </w:tcPr>
          <w:p w14:paraId="6B5B522A" w14:textId="77777777" w:rsidR="005E4AB9" w:rsidRDefault="005E4AB9" w:rsidP="005E4AB9">
            <w:pPr>
              <w:pStyle w:val="Brdtext"/>
            </w:pPr>
            <w:r>
              <w:t>1</w:t>
            </w:r>
          </w:p>
        </w:tc>
      </w:tr>
      <w:tr w:rsidR="005E4AB9" w14:paraId="7B4FF2BF" w14:textId="77777777" w:rsidTr="005E4AB9">
        <w:tc>
          <w:tcPr>
            <w:tcW w:w="2165" w:type="dxa"/>
          </w:tcPr>
          <w:p w14:paraId="30247CC6" w14:textId="77777777" w:rsidR="005E4AB9" w:rsidRDefault="005E4AB9" w:rsidP="005E4AB9">
            <w:pPr>
              <w:pStyle w:val="Brdtext"/>
            </w:pPr>
            <w:r>
              <w:t>2</w:t>
            </w:r>
          </w:p>
        </w:tc>
        <w:tc>
          <w:tcPr>
            <w:tcW w:w="2610" w:type="dxa"/>
          </w:tcPr>
          <w:p w14:paraId="02D3875C" w14:textId="4DCC792A" w:rsidR="005E4AB9" w:rsidRDefault="005E4AB9" w:rsidP="005E4AB9">
            <w:pPr>
              <w:pStyle w:val="Brdtext"/>
            </w:pPr>
            <w:r>
              <w:t>11</w:t>
            </w:r>
          </w:p>
        </w:tc>
        <w:tc>
          <w:tcPr>
            <w:tcW w:w="2585" w:type="dxa"/>
          </w:tcPr>
          <w:p w14:paraId="07FC7638" w14:textId="0B62CCAC" w:rsidR="005E4AB9" w:rsidRDefault="005E4AB9" w:rsidP="005E4AB9">
            <w:pPr>
              <w:pStyle w:val="Brdtext"/>
            </w:pPr>
            <w:r>
              <w:t>0</w:t>
            </w:r>
          </w:p>
        </w:tc>
      </w:tr>
    </w:tbl>
    <w:p w14:paraId="50C3FBA3" w14:textId="668CB8DE" w:rsidR="005E4AB9" w:rsidRPr="005E4AB9" w:rsidRDefault="00DD40BC" w:rsidP="005E4AB9">
      <w:pPr>
        <w:pStyle w:val="Rubrik2"/>
      </w:pPr>
      <w:r>
        <w:t>Maxk</w:t>
      </w:r>
      <w:r w:rsidR="005E4AB9">
        <w:t xml:space="preserve">apacitet </w:t>
      </w:r>
      <w:r>
        <w:t xml:space="preserve">aFRR </w:t>
      </w:r>
      <w:r w:rsidR="005E4AB9">
        <w:t>1 MW, nedreglering</w:t>
      </w:r>
    </w:p>
    <w:tbl>
      <w:tblPr>
        <w:tblStyle w:val="Tabellrutnt"/>
        <w:tblW w:w="0" w:type="auto"/>
        <w:tblLook w:val="04A0" w:firstRow="1" w:lastRow="0" w:firstColumn="1" w:lastColumn="0" w:noHBand="0" w:noVBand="1"/>
      </w:tblPr>
      <w:tblGrid>
        <w:gridCol w:w="2165"/>
        <w:gridCol w:w="2610"/>
        <w:gridCol w:w="2585"/>
      </w:tblGrid>
      <w:tr w:rsidR="005E4AB9" w14:paraId="0F3313DE" w14:textId="77777777" w:rsidTr="005E4AB9">
        <w:tc>
          <w:tcPr>
            <w:tcW w:w="2165" w:type="dxa"/>
            <w:shd w:val="clear" w:color="auto" w:fill="D9D9D9" w:themeFill="background1" w:themeFillShade="D9"/>
          </w:tcPr>
          <w:p w14:paraId="09998B7D" w14:textId="77777777" w:rsidR="005E4AB9" w:rsidRPr="004674A7" w:rsidRDefault="005E4AB9" w:rsidP="005E4AB9">
            <w:pPr>
              <w:pStyle w:val="Brdtext"/>
              <w:rPr>
                <w:b/>
              </w:rPr>
            </w:pPr>
            <w:r>
              <w:rPr>
                <w:b/>
              </w:rPr>
              <w:t>Steg</w:t>
            </w:r>
          </w:p>
        </w:tc>
        <w:tc>
          <w:tcPr>
            <w:tcW w:w="2610" w:type="dxa"/>
            <w:shd w:val="clear" w:color="auto" w:fill="D9D9D9" w:themeFill="background1" w:themeFillShade="D9"/>
          </w:tcPr>
          <w:p w14:paraId="6288E3C5" w14:textId="77777777" w:rsidR="005E4AB9" w:rsidRPr="004674A7" w:rsidRDefault="005E4AB9" w:rsidP="005E4AB9">
            <w:pPr>
              <w:pStyle w:val="Brdtext"/>
              <w:rPr>
                <w:b/>
              </w:rPr>
            </w:pPr>
            <w:r w:rsidRPr="004674A7">
              <w:rPr>
                <w:b/>
              </w:rPr>
              <w:t>Tid [minuter]</w:t>
            </w:r>
          </w:p>
        </w:tc>
        <w:tc>
          <w:tcPr>
            <w:tcW w:w="2585" w:type="dxa"/>
            <w:shd w:val="clear" w:color="auto" w:fill="D9D9D9" w:themeFill="background1" w:themeFillShade="D9"/>
          </w:tcPr>
          <w:p w14:paraId="3896E099" w14:textId="77777777" w:rsidR="005E4AB9" w:rsidRPr="004674A7" w:rsidRDefault="005E4AB9" w:rsidP="005E4AB9">
            <w:pPr>
              <w:pStyle w:val="Brdtext"/>
              <w:rPr>
                <w:b/>
              </w:rPr>
            </w:pPr>
            <w:r w:rsidRPr="004674A7">
              <w:rPr>
                <w:b/>
              </w:rPr>
              <w:t>Börvärde aFRR [MW]</w:t>
            </w:r>
          </w:p>
        </w:tc>
      </w:tr>
      <w:tr w:rsidR="005E4AB9" w14:paraId="1F785E90" w14:textId="77777777" w:rsidTr="005E4AB9">
        <w:tc>
          <w:tcPr>
            <w:tcW w:w="2165" w:type="dxa"/>
          </w:tcPr>
          <w:p w14:paraId="358DEDA9" w14:textId="77777777" w:rsidR="005E4AB9" w:rsidRDefault="005E4AB9" w:rsidP="005E4AB9">
            <w:pPr>
              <w:pStyle w:val="Brdtext"/>
            </w:pPr>
            <w:r>
              <w:t>0</w:t>
            </w:r>
          </w:p>
        </w:tc>
        <w:tc>
          <w:tcPr>
            <w:tcW w:w="2610" w:type="dxa"/>
          </w:tcPr>
          <w:p w14:paraId="20E34736" w14:textId="77777777" w:rsidR="005E4AB9" w:rsidRDefault="005E4AB9" w:rsidP="005E4AB9">
            <w:pPr>
              <w:pStyle w:val="Brdtext"/>
            </w:pPr>
            <w:r>
              <w:t>0</w:t>
            </w:r>
          </w:p>
        </w:tc>
        <w:tc>
          <w:tcPr>
            <w:tcW w:w="2585" w:type="dxa"/>
          </w:tcPr>
          <w:p w14:paraId="4A2F9BCA" w14:textId="77777777" w:rsidR="005E4AB9" w:rsidRDefault="005E4AB9" w:rsidP="005E4AB9">
            <w:pPr>
              <w:pStyle w:val="Brdtext"/>
            </w:pPr>
            <w:r>
              <w:t>0</w:t>
            </w:r>
          </w:p>
        </w:tc>
      </w:tr>
      <w:tr w:rsidR="005E4AB9" w14:paraId="184F661E" w14:textId="77777777" w:rsidTr="005E4AB9">
        <w:tc>
          <w:tcPr>
            <w:tcW w:w="2165" w:type="dxa"/>
          </w:tcPr>
          <w:p w14:paraId="67D08D68" w14:textId="77777777" w:rsidR="005E4AB9" w:rsidRDefault="005E4AB9" w:rsidP="005E4AB9">
            <w:pPr>
              <w:pStyle w:val="Brdtext"/>
            </w:pPr>
            <w:r>
              <w:t>1</w:t>
            </w:r>
          </w:p>
        </w:tc>
        <w:tc>
          <w:tcPr>
            <w:tcW w:w="2610" w:type="dxa"/>
          </w:tcPr>
          <w:p w14:paraId="46CDB97B" w14:textId="77777777" w:rsidR="005E4AB9" w:rsidRDefault="005E4AB9" w:rsidP="005E4AB9">
            <w:pPr>
              <w:pStyle w:val="Brdtext"/>
            </w:pPr>
            <w:r>
              <w:t>5</w:t>
            </w:r>
          </w:p>
        </w:tc>
        <w:tc>
          <w:tcPr>
            <w:tcW w:w="2585" w:type="dxa"/>
          </w:tcPr>
          <w:p w14:paraId="5D517055" w14:textId="69091C12" w:rsidR="005E4AB9" w:rsidRDefault="005E4AB9" w:rsidP="005E4AB9">
            <w:pPr>
              <w:pStyle w:val="Brdtext"/>
            </w:pPr>
            <w:r>
              <w:t>-1</w:t>
            </w:r>
          </w:p>
        </w:tc>
      </w:tr>
      <w:tr w:rsidR="005E4AB9" w14:paraId="2AC19287" w14:textId="77777777" w:rsidTr="005E4AB9">
        <w:tc>
          <w:tcPr>
            <w:tcW w:w="2165" w:type="dxa"/>
          </w:tcPr>
          <w:p w14:paraId="390D3C54" w14:textId="77777777" w:rsidR="005E4AB9" w:rsidRDefault="005E4AB9" w:rsidP="005E4AB9">
            <w:pPr>
              <w:pStyle w:val="Brdtext"/>
            </w:pPr>
            <w:r>
              <w:t>2</w:t>
            </w:r>
          </w:p>
        </w:tc>
        <w:tc>
          <w:tcPr>
            <w:tcW w:w="2610" w:type="dxa"/>
          </w:tcPr>
          <w:p w14:paraId="4BD03B88" w14:textId="77777777" w:rsidR="005E4AB9" w:rsidRDefault="005E4AB9" w:rsidP="005E4AB9">
            <w:pPr>
              <w:pStyle w:val="Brdtext"/>
            </w:pPr>
            <w:r>
              <w:t>11</w:t>
            </w:r>
          </w:p>
        </w:tc>
        <w:tc>
          <w:tcPr>
            <w:tcW w:w="2585" w:type="dxa"/>
          </w:tcPr>
          <w:p w14:paraId="0E88A228" w14:textId="77777777" w:rsidR="005E4AB9" w:rsidRDefault="005E4AB9" w:rsidP="005E4AB9">
            <w:pPr>
              <w:pStyle w:val="Brdtext"/>
            </w:pPr>
            <w:r>
              <w:t>0</w:t>
            </w:r>
          </w:p>
        </w:tc>
      </w:tr>
    </w:tbl>
    <w:p w14:paraId="28D78886" w14:textId="521F2390" w:rsidR="005E4AB9" w:rsidRDefault="005E4AB9" w:rsidP="005E4AB9">
      <w:pPr>
        <w:pStyle w:val="Brdtext"/>
      </w:pPr>
    </w:p>
    <w:p w14:paraId="0FA43471" w14:textId="327132B2" w:rsidR="005E4AB9" w:rsidRDefault="00DD40BC" w:rsidP="005E4AB9">
      <w:pPr>
        <w:pStyle w:val="Rubrik2"/>
      </w:pPr>
      <w:r>
        <w:t>Max</w:t>
      </w:r>
      <w:r w:rsidR="00014C3A">
        <w:t>k</w:t>
      </w:r>
      <w:r w:rsidR="005E4AB9">
        <w:t>apacitet</w:t>
      </w:r>
      <w:r>
        <w:t xml:space="preserve"> aFRR</w:t>
      </w:r>
      <w:r w:rsidR="005E4AB9">
        <w:t xml:space="preserve"> 2-3 MW, uppreglering</w:t>
      </w:r>
    </w:p>
    <w:tbl>
      <w:tblPr>
        <w:tblStyle w:val="Tabellrutnt"/>
        <w:tblW w:w="0" w:type="auto"/>
        <w:tblLook w:val="04A0" w:firstRow="1" w:lastRow="0" w:firstColumn="1" w:lastColumn="0" w:noHBand="0" w:noVBand="1"/>
      </w:tblPr>
      <w:tblGrid>
        <w:gridCol w:w="2165"/>
        <w:gridCol w:w="2610"/>
        <w:gridCol w:w="2585"/>
      </w:tblGrid>
      <w:tr w:rsidR="005E4AB9" w14:paraId="59A46B4D" w14:textId="77777777" w:rsidTr="005E4AB9">
        <w:tc>
          <w:tcPr>
            <w:tcW w:w="2165" w:type="dxa"/>
            <w:shd w:val="clear" w:color="auto" w:fill="D9D9D9" w:themeFill="background1" w:themeFillShade="D9"/>
          </w:tcPr>
          <w:p w14:paraId="321F6005" w14:textId="77777777" w:rsidR="005E4AB9" w:rsidRPr="004674A7" w:rsidRDefault="005E4AB9" w:rsidP="005E4AB9">
            <w:pPr>
              <w:pStyle w:val="Brdtext"/>
              <w:rPr>
                <w:b/>
              </w:rPr>
            </w:pPr>
            <w:r>
              <w:rPr>
                <w:b/>
              </w:rPr>
              <w:t>Steg</w:t>
            </w:r>
          </w:p>
        </w:tc>
        <w:tc>
          <w:tcPr>
            <w:tcW w:w="2610" w:type="dxa"/>
            <w:shd w:val="clear" w:color="auto" w:fill="D9D9D9" w:themeFill="background1" w:themeFillShade="D9"/>
          </w:tcPr>
          <w:p w14:paraId="78B3656C" w14:textId="77777777" w:rsidR="005E4AB9" w:rsidRPr="004674A7" w:rsidRDefault="005E4AB9" w:rsidP="005E4AB9">
            <w:pPr>
              <w:pStyle w:val="Brdtext"/>
              <w:rPr>
                <w:b/>
              </w:rPr>
            </w:pPr>
            <w:r w:rsidRPr="004674A7">
              <w:rPr>
                <w:b/>
              </w:rPr>
              <w:t>Tid [minuter]</w:t>
            </w:r>
          </w:p>
        </w:tc>
        <w:tc>
          <w:tcPr>
            <w:tcW w:w="2585" w:type="dxa"/>
            <w:shd w:val="clear" w:color="auto" w:fill="D9D9D9" w:themeFill="background1" w:themeFillShade="D9"/>
          </w:tcPr>
          <w:p w14:paraId="1546D6A0" w14:textId="77777777" w:rsidR="005E4AB9" w:rsidRPr="004674A7" w:rsidRDefault="005E4AB9" w:rsidP="005E4AB9">
            <w:pPr>
              <w:pStyle w:val="Brdtext"/>
              <w:rPr>
                <w:b/>
              </w:rPr>
            </w:pPr>
            <w:r w:rsidRPr="004674A7">
              <w:rPr>
                <w:b/>
              </w:rPr>
              <w:t>Börvärde aFRR [MW]</w:t>
            </w:r>
          </w:p>
        </w:tc>
      </w:tr>
      <w:tr w:rsidR="005E4AB9" w14:paraId="0C97BFF4" w14:textId="77777777" w:rsidTr="005E4AB9">
        <w:tc>
          <w:tcPr>
            <w:tcW w:w="2165" w:type="dxa"/>
          </w:tcPr>
          <w:p w14:paraId="13B54523" w14:textId="77777777" w:rsidR="005E4AB9" w:rsidRDefault="005E4AB9" w:rsidP="005E4AB9">
            <w:pPr>
              <w:pStyle w:val="Brdtext"/>
            </w:pPr>
            <w:r>
              <w:t>0</w:t>
            </w:r>
          </w:p>
        </w:tc>
        <w:tc>
          <w:tcPr>
            <w:tcW w:w="2610" w:type="dxa"/>
          </w:tcPr>
          <w:p w14:paraId="2C2A133A" w14:textId="77777777" w:rsidR="005E4AB9" w:rsidRDefault="005E4AB9" w:rsidP="005E4AB9">
            <w:pPr>
              <w:pStyle w:val="Brdtext"/>
            </w:pPr>
            <w:r>
              <w:t>0</w:t>
            </w:r>
          </w:p>
        </w:tc>
        <w:tc>
          <w:tcPr>
            <w:tcW w:w="2585" w:type="dxa"/>
          </w:tcPr>
          <w:p w14:paraId="653064CC" w14:textId="77777777" w:rsidR="005E4AB9" w:rsidRDefault="005E4AB9" w:rsidP="005E4AB9">
            <w:pPr>
              <w:pStyle w:val="Brdtext"/>
            </w:pPr>
            <w:r>
              <w:t>0</w:t>
            </w:r>
          </w:p>
        </w:tc>
      </w:tr>
      <w:tr w:rsidR="005E4AB9" w14:paraId="3652C916" w14:textId="77777777" w:rsidTr="005E4AB9">
        <w:tc>
          <w:tcPr>
            <w:tcW w:w="2165" w:type="dxa"/>
          </w:tcPr>
          <w:p w14:paraId="34AB9EF3" w14:textId="77777777" w:rsidR="005E4AB9" w:rsidRDefault="005E4AB9" w:rsidP="005E4AB9">
            <w:pPr>
              <w:pStyle w:val="Brdtext"/>
            </w:pPr>
            <w:r>
              <w:t>1</w:t>
            </w:r>
          </w:p>
        </w:tc>
        <w:tc>
          <w:tcPr>
            <w:tcW w:w="2610" w:type="dxa"/>
          </w:tcPr>
          <w:p w14:paraId="36FDA9AB" w14:textId="77777777" w:rsidR="005E4AB9" w:rsidRDefault="005E4AB9" w:rsidP="005E4AB9">
            <w:pPr>
              <w:pStyle w:val="Brdtext"/>
            </w:pPr>
            <w:r>
              <w:t>5</w:t>
            </w:r>
          </w:p>
        </w:tc>
        <w:tc>
          <w:tcPr>
            <w:tcW w:w="2585" w:type="dxa"/>
          </w:tcPr>
          <w:p w14:paraId="3C62D359" w14:textId="77777777" w:rsidR="005E4AB9" w:rsidRDefault="005E4AB9" w:rsidP="005E4AB9">
            <w:pPr>
              <w:pStyle w:val="Brdtext"/>
            </w:pPr>
            <w:r>
              <w:t>1</w:t>
            </w:r>
          </w:p>
        </w:tc>
      </w:tr>
      <w:tr w:rsidR="005E4AB9" w14:paraId="0BEA8441" w14:textId="77777777" w:rsidTr="005E4AB9">
        <w:tc>
          <w:tcPr>
            <w:tcW w:w="2165" w:type="dxa"/>
          </w:tcPr>
          <w:p w14:paraId="20F91CF9" w14:textId="77777777" w:rsidR="005E4AB9" w:rsidRDefault="005E4AB9" w:rsidP="005E4AB9">
            <w:pPr>
              <w:pStyle w:val="Brdtext"/>
            </w:pPr>
            <w:r>
              <w:t>2</w:t>
            </w:r>
          </w:p>
        </w:tc>
        <w:tc>
          <w:tcPr>
            <w:tcW w:w="2610" w:type="dxa"/>
          </w:tcPr>
          <w:p w14:paraId="0FD936FB" w14:textId="77777777" w:rsidR="005E4AB9" w:rsidRDefault="005E4AB9" w:rsidP="005E4AB9">
            <w:pPr>
              <w:pStyle w:val="Brdtext"/>
            </w:pPr>
            <w:r>
              <w:t>11</w:t>
            </w:r>
          </w:p>
        </w:tc>
        <w:tc>
          <w:tcPr>
            <w:tcW w:w="2585" w:type="dxa"/>
          </w:tcPr>
          <w:p w14:paraId="1B1EE958" w14:textId="0C89C111" w:rsidR="005E4AB9" w:rsidRDefault="005E4AB9" w:rsidP="005E4AB9">
            <w:pPr>
              <w:pStyle w:val="Brdtext"/>
            </w:pPr>
            <w:r>
              <w:t>0</w:t>
            </w:r>
          </w:p>
        </w:tc>
      </w:tr>
      <w:tr w:rsidR="005E4AB9" w14:paraId="3BC4751B" w14:textId="77777777" w:rsidTr="005E4AB9">
        <w:tc>
          <w:tcPr>
            <w:tcW w:w="2165" w:type="dxa"/>
          </w:tcPr>
          <w:p w14:paraId="3EE05654" w14:textId="77777777" w:rsidR="005E4AB9" w:rsidRDefault="005E4AB9" w:rsidP="005E4AB9">
            <w:pPr>
              <w:pStyle w:val="Brdtext"/>
            </w:pPr>
            <w:r>
              <w:t>3</w:t>
            </w:r>
          </w:p>
        </w:tc>
        <w:tc>
          <w:tcPr>
            <w:tcW w:w="2610" w:type="dxa"/>
          </w:tcPr>
          <w:p w14:paraId="3F5CAE81" w14:textId="3A6F638B" w:rsidR="005E4AB9" w:rsidRDefault="005E4AB9" w:rsidP="005E4AB9">
            <w:pPr>
              <w:pStyle w:val="Brdtext"/>
            </w:pPr>
            <w:r>
              <w:t>17</w:t>
            </w:r>
          </w:p>
        </w:tc>
        <w:tc>
          <w:tcPr>
            <w:tcW w:w="2585" w:type="dxa"/>
          </w:tcPr>
          <w:p w14:paraId="619F6A78" w14:textId="0473AC65" w:rsidR="005E4AB9" w:rsidRDefault="00746A4F" w:rsidP="005E4AB9">
            <w:pPr>
              <w:pStyle w:val="Brdtext"/>
            </w:pPr>
            <w:r>
              <w:sym w:font="Symbol" w:char="F044"/>
            </w:r>
            <w:r>
              <w:t>Pmax</w:t>
            </w:r>
          </w:p>
        </w:tc>
      </w:tr>
      <w:tr w:rsidR="005E4AB9" w14:paraId="38FD5F50" w14:textId="77777777" w:rsidTr="005E4AB9">
        <w:tc>
          <w:tcPr>
            <w:tcW w:w="2165" w:type="dxa"/>
          </w:tcPr>
          <w:p w14:paraId="7ACD5BC8" w14:textId="77777777" w:rsidR="005E4AB9" w:rsidRDefault="005E4AB9" w:rsidP="005E4AB9">
            <w:pPr>
              <w:pStyle w:val="Brdtext"/>
            </w:pPr>
            <w:r>
              <w:t>4</w:t>
            </w:r>
          </w:p>
        </w:tc>
        <w:tc>
          <w:tcPr>
            <w:tcW w:w="2610" w:type="dxa"/>
          </w:tcPr>
          <w:p w14:paraId="3346F2BB" w14:textId="623639EB" w:rsidR="005E4AB9" w:rsidRDefault="005E4AB9" w:rsidP="005E4AB9">
            <w:pPr>
              <w:pStyle w:val="Brdtext"/>
            </w:pPr>
            <w:r>
              <w:t>23</w:t>
            </w:r>
          </w:p>
        </w:tc>
        <w:tc>
          <w:tcPr>
            <w:tcW w:w="2585" w:type="dxa"/>
          </w:tcPr>
          <w:p w14:paraId="43DAB923" w14:textId="3CF969E5" w:rsidR="005E4AB9" w:rsidRDefault="005E4AB9" w:rsidP="005E4AB9">
            <w:pPr>
              <w:pStyle w:val="Brdtext"/>
            </w:pPr>
            <w:r>
              <w:t>0</w:t>
            </w:r>
          </w:p>
        </w:tc>
      </w:tr>
    </w:tbl>
    <w:p w14:paraId="4B4854BF" w14:textId="6A9114C2" w:rsidR="005E4AB9" w:rsidRDefault="005E4AB9" w:rsidP="005E4AB9">
      <w:pPr>
        <w:pStyle w:val="Brdtext"/>
      </w:pPr>
    </w:p>
    <w:p w14:paraId="5AD64DFC" w14:textId="77777777" w:rsidR="00074ECF" w:rsidRDefault="00074ECF" w:rsidP="005E4AB9">
      <w:pPr>
        <w:pStyle w:val="Brdtext"/>
      </w:pPr>
    </w:p>
    <w:p w14:paraId="66E8D6C9" w14:textId="5F95C819" w:rsidR="005E4AB9" w:rsidRDefault="00DD40BC" w:rsidP="00014C3A">
      <w:pPr>
        <w:pStyle w:val="Rubrik2"/>
      </w:pPr>
      <w:r>
        <w:lastRenderedPageBreak/>
        <w:t>Maxk</w:t>
      </w:r>
      <w:r w:rsidR="005E4AB9">
        <w:t>apacitet</w:t>
      </w:r>
      <w:r>
        <w:t xml:space="preserve"> aFRR</w:t>
      </w:r>
      <w:r w:rsidR="005E4AB9">
        <w:t xml:space="preserve"> 2-3 MW, nedreglering</w:t>
      </w:r>
    </w:p>
    <w:tbl>
      <w:tblPr>
        <w:tblStyle w:val="Tabellrutnt"/>
        <w:tblW w:w="0" w:type="auto"/>
        <w:tblLook w:val="04A0" w:firstRow="1" w:lastRow="0" w:firstColumn="1" w:lastColumn="0" w:noHBand="0" w:noVBand="1"/>
      </w:tblPr>
      <w:tblGrid>
        <w:gridCol w:w="2165"/>
        <w:gridCol w:w="2610"/>
        <w:gridCol w:w="2585"/>
      </w:tblGrid>
      <w:tr w:rsidR="005E4AB9" w14:paraId="77887054" w14:textId="77777777" w:rsidTr="005E4AB9">
        <w:tc>
          <w:tcPr>
            <w:tcW w:w="2165" w:type="dxa"/>
            <w:shd w:val="clear" w:color="auto" w:fill="D9D9D9" w:themeFill="background1" w:themeFillShade="D9"/>
          </w:tcPr>
          <w:p w14:paraId="0D84B7C3" w14:textId="77777777" w:rsidR="005E4AB9" w:rsidRPr="004674A7" w:rsidRDefault="005E4AB9" w:rsidP="007914B8">
            <w:pPr>
              <w:pStyle w:val="Brdtext"/>
              <w:keepNext/>
              <w:rPr>
                <w:b/>
              </w:rPr>
            </w:pPr>
            <w:r>
              <w:rPr>
                <w:b/>
              </w:rPr>
              <w:t>Steg</w:t>
            </w:r>
          </w:p>
        </w:tc>
        <w:tc>
          <w:tcPr>
            <w:tcW w:w="2610" w:type="dxa"/>
            <w:shd w:val="clear" w:color="auto" w:fill="D9D9D9" w:themeFill="background1" w:themeFillShade="D9"/>
          </w:tcPr>
          <w:p w14:paraId="378A660B" w14:textId="77777777" w:rsidR="005E4AB9" w:rsidRPr="004674A7" w:rsidRDefault="005E4AB9" w:rsidP="007914B8">
            <w:pPr>
              <w:pStyle w:val="Brdtext"/>
              <w:keepNext/>
              <w:rPr>
                <w:b/>
              </w:rPr>
            </w:pPr>
            <w:r w:rsidRPr="004674A7">
              <w:rPr>
                <w:b/>
              </w:rPr>
              <w:t>Tid [minuter]</w:t>
            </w:r>
          </w:p>
        </w:tc>
        <w:tc>
          <w:tcPr>
            <w:tcW w:w="2585" w:type="dxa"/>
            <w:shd w:val="clear" w:color="auto" w:fill="D9D9D9" w:themeFill="background1" w:themeFillShade="D9"/>
          </w:tcPr>
          <w:p w14:paraId="5379824C" w14:textId="77777777" w:rsidR="005E4AB9" w:rsidRPr="004674A7" w:rsidRDefault="005E4AB9" w:rsidP="007914B8">
            <w:pPr>
              <w:pStyle w:val="Brdtext"/>
              <w:keepNext/>
              <w:rPr>
                <w:b/>
              </w:rPr>
            </w:pPr>
            <w:r w:rsidRPr="004674A7">
              <w:rPr>
                <w:b/>
              </w:rPr>
              <w:t>Börvärde aFRR [MW]</w:t>
            </w:r>
          </w:p>
        </w:tc>
      </w:tr>
      <w:tr w:rsidR="005E4AB9" w14:paraId="0743966D" w14:textId="77777777" w:rsidTr="005E4AB9">
        <w:tc>
          <w:tcPr>
            <w:tcW w:w="2165" w:type="dxa"/>
          </w:tcPr>
          <w:p w14:paraId="484A34BC" w14:textId="77777777" w:rsidR="005E4AB9" w:rsidRDefault="005E4AB9" w:rsidP="007914B8">
            <w:pPr>
              <w:pStyle w:val="Brdtext"/>
              <w:keepNext/>
            </w:pPr>
            <w:r>
              <w:t>0</w:t>
            </w:r>
          </w:p>
        </w:tc>
        <w:tc>
          <w:tcPr>
            <w:tcW w:w="2610" w:type="dxa"/>
          </w:tcPr>
          <w:p w14:paraId="61D5F1A1" w14:textId="77777777" w:rsidR="005E4AB9" w:rsidRDefault="005E4AB9" w:rsidP="007914B8">
            <w:pPr>
              <w:pStyle w:val="Brdtext"/>
              <w:keepNext/>
            </w:pPr>
            <w:r>
              <w:t>0</w:t>
            </w:r>
          </w:p>
        </w:tc>
        <w:tc>
          <w:tcPr>
            <w:tcW w:w="2585" w:type="dxa"/>
          </w:tcPr>
          <w:p w14:paraId="67A38574" w14:textId="77777777" w:rsidR="005E4AB9" w:rsidRDefault="005E4AB9" w:rsidP="007914B8">
            <w:pPr>
              <w:pStyle w:val="Brdtext"/>
              <w:keepNext/>
            </w:pPr>
            <w:r>
              <w:t>0</w:t>
            </w:r>
          </w:p>
        </w:tc>
      </w:tr>
      <w:tr w:rsidR="005E4AB9" w14:paraId="243D651C" w14:textId="77777777" w:rsidTr="005E4AB9">
        <w:tc>
          <w:tcPr>
            <w:tcW w:w="2165" w:type="dxa"/>
          </w:tcPr>
          <w:p w14:paraId="46EE7A8F" w14:textId="77777777" w:rsidR="005E4AB9" w:rsidRDefault="005E4AB9" w:rsidP="007914B8">
            <w:pPr>
              <w:pStyle w:val="Brdtext"/>
              <w:keepNext/>
            </w:pPr>
            <w:r>
              <w:t>1</w:t>
            </w:r>
          </w:p>
        </w:tc>
        <w:tc>
          <w:tcPr>
            <w:tcW w:w="2610" w:type="dxa"/>
          </w:tcPr>
          <w:p w14:paraId="45E0AB2C" w14:textId="77777777" w:rsidR="005E4AB9" w:rsidRDefault="005E4AB9" w:rsidP="007914B8">
            <w:pPr>
              <w:pStyle w:val="Brdtext"/>
              <w:keepNext/>
            </w:pPr>
            <w:r>
              <w:t>5</w:t>
            </w:r>
          </w:p>
        </w:tc>
        <w:tc>
          <w:tcPr>
            <w:tcW w:w="2585" w:type="dxa"/>
          </w:tcPr>
          <w:p w14:paraId="57138E0D" w14:textId="408FBAE0" w:rsidR="005E4AB9" w:rsidRDefault="005E4AB9" w:rsidP="007914B8">
            <w:pPr>
              <w:pStyle w:val="Brdtext"/>
              <w:keepNext/>
            </w:pPr>
            <w:r>
              <w:t>-1</w:t>
            </w:r>
          </w:p>
        </w:tc>
      </w:tr>
      <w:tr w:rsidR="005E4AB9" w14:paraId="647650CE" w14:textId="77777777" w:rsidTr="005E4AB9">
        <w:tc>
          <w:tcPr>
            <w:tcW w:w="2165" w:type="dxa"/>
          </w:tcPr>
          <w:p w14:paraId="625CBB96" w14:textId="77777777" w:rsidR="005E4AB9" w:rsidRDefault="005E4AB9" w:rsidP="007914B8">
            <w:pPr>
              <w:pStyle w:val="Brdtext"/>
              <w:keepNext/>
            </w:pPr>
            <w:r>
              <w:t>2</w:t>
            </w:r>
          </w:p>
        </w:tc>
        <w:tc>
          <w:tcPr>
            <w:tcW w:w="2610" w:type="dxa"/>
          </w:tcPr>
          <w:p w14:paraId="1A955039" w14:textId="77777777" w:rsidR="005E4AB9" w:rsidRDefault="005E4AB9" w:rsidP="007914B8">
            <w:pPr>
              <w:pStyle w:val="Brdtext"/>
              <w:keepNext/>
            </w:pPr>
            <w:r>
              <w:t>11</w:t>
            </w:r>
          </w:p>
        </w:tc>
        <w:tc>
          <w:tcPr>
            <w:tcW w:w="2585" w:type="dxa"/>
          </w:tcPr>
          <w:p w14:paraId="6D334F4E" w14:textId="77777777" w:rsidR="005E4AB9" w:rsidRDefault="005E4AB9" w:rsidP="007914B8">
            <w:pPr>
              <w:pStyle w:val="Brdtext"/>
              <w:keepNext/>
            </w:pPr>
            <w:r>
              <w:t>0</w:t>
            </w:r>
          </w:p>
        </w:tc>
      </w:tr>
      <w:tr w:rsidR="005E4AB9" w14:paraId="77821650" w14:textId="77777777" w:rsidTr="005E4AB9">
        <w:tc>
          <w:tcPr>
            <w:tcW w:w="2165" w:type="dxa"/>
          </w:tcPr>
          <w:p w14:paraId="2A06D736" w14:textId="77777777" w:rsidR="005E4AB9" w:rsidRDefault="005E4AB9" w:rsidP="007914B8">
            <w:pPr>
              <w:pStyle w:val="Brdtext"/>
              <w:keepNext/>
            </w:pPr>
            <w:r>
              <w:t>3</w:t>
            </w:r>
          </w:p>
        </w:tc>
        <w:tc>
          <w:tcPr>
            <w:tcW w:w="2610" w:type="dxa"/>
          </w:tcPr>
          <w:p w14:paraId="637B0D6E" w14:textId="77777777" w:rsidR="005E4AB9" w:rsidRDefault="005E4AB9" w:rsidP="007914B8">
            <w:pPr>
              <w:pStyle w:val="Brdtext"/>
              <w:keepNext/>
            </w:pPr>
            <w:r>
              <w:t>17</w:t>
            </w:r>
          </w:p>
        </w:tc>
        <w:tc>
          <w:tcPr>
            <w:tcW w:w="2585" w:type="dxa"/>
          </w:tcPr>
          <w:p w14:paraId="02BF1480" w14:textId="51A3CCAD" w:rsidR="005E4AB9" w:rsidRDefault="00746A4F" w:rsidP="007914B8">
            <w:pPr>
              <w:pStyle w:val="Brdtext"/>
              <w:keepNext/>
            </w:pPr>
            <w:r>
              <w:sym w:font="Symbol" w:char="F044"/>
            </w:r>
            <w:r>
              <w:t>Pmax</w:t>
            </w:r>
          </w:p>
        </w:tc>
      </w:tr>
      <w:tr w:rsidR="005E4AB9" w14:paraId="103E0E44" w14:textId="77777777" w:rsidTr="005E4AB9">
        <w:tc>
          <w:tcPr>
            <w:tcW w:w="2165" w:type="dxa"/>
          </w:tcPr>
          <w:p w14:paraId="549EF486" w14:textId="77777777" w:rsidR="005E4AB9" w:rsidRDefault="005E4AB9" w:rsidP="005E4AB9">
            <w:pPr>
              <w:pStyle w:val="Brdtext"/>
            </w:pPr>
            <w:r>
              <w:t>4</w:t>
            </w:r>
          </w:p>
        </w:tc>
        <w:tc>
          <w:tcPr>
            <w:tcW w:w="2610" w:type="dxa"/>
          </w:tcPr>
          <w:p w14:paraId="71179404" w14:textId="77777777" w:rsidR="005E4AB9" w:rsidRDefault="005E4AB9" w:rsidP="005E4AB9">
            <w:pPr>
              <w:pStyle w:val="Brdtext"/>
            </w:pPr>
            <w:r>
              <w:t>23</w:t>
            </w:r>
          </w:p>
        </w:tc>
        <w:tc>
          <w:tcPr>
            <w:tcW w:w="2585" w:type="dxa"/>
          </w:tcPr>
          <w:p w14:paraId="30964767" w14:textId="77777777" w:rsidR="005E4AB9" w:rsidRDefault="005E4AB9" w:rsidP="005E4AB9">
            <w:pPr>
              <w:pStyle w:val="Brdtext"/>
            </w:pPr>
            <w:r>
              <w:t>0</w:t>
            </w:r>
          </w:p>
        </w:tc>
      </w:tr>
    </w:tbl>
    <w:p w14:paraId="1E0ECCE7" w14:textId="77777777" w:rsidR="005E4AB9" w:rsidRPr="005E4AB9" w:rsidRDefault="005E4AB9" w:rsidP="005E4AB9">
      <w:pPr>
        <w:pStyle w:val="Brdtext"/>
      </w:pPr>
    </w:p>
    <w:p w14:paraId="3D8F1692" w14:textId="448F0578" w:rsidR="005E4AB9" w:rsidRDefault="00DD40BC" w:rsidP="005E4AB9">
      <w:pPr>
        <w:pStyle w:val="Rubrik2"/>
      </w:pPr>
      <w:r>
        <w:t>Maxk</w:t>
      </w:r>
      <w:r w:rsidR="005E4AB9">
        <w:t xml:space="preserve">apacitet </w:t>
      </w:r>
      <w:r>
        <w:t xml:space="preserve">aFRR </w:t>
      </w:r>
      <w:r w:rsidR="005E4AB9">
        <w:t>4-9 MW, uppreglering</w:t>
      </w:r>
    </w:p>
    <w:tbl>
      <w:tblPr>
        <w:tblStyle w:val="Tabellrutnt"/>
        <w:tblW w:w="0" w:type="auto"/>
        <w:tblLook w:val="04A0" w:firstRow="1" w:lastRow="0" w:firstColumn="1" w:lastColumn="0" w:noHBand="0" w:noVBand="1"/>
      </w:tblPr>
      <w:tblGrid>
        <w:gridCol w:w="2165"/>
        <w:gridCol w:w="2610"/>
        <w:gridCol w:w="2585"/>
      </w:tblGrid>
      <w:tr w:rsidR="005E4AB9" w14:paraId="40C7D4A0" w14:textId="77777777" w:rsidTr="005E4AB9">
        <w:tc>
          <w:tcPr>
            <w:tcW w:w="2165" w:type="dxa"/>
            <w:shd w:val="clear" w:color="auto" w:fill="D9D9D9" w:themeFill="background1" w:themeFillShade="D9"/>
          </w:tcPr>
          <w:p w14:paraId="03A062AD" w14:textId="77777777" w:rsidR="005E4AB9" w:rsidRPr="004674A7" w:rsidRDefault="005E4AB9" w:rsidP="005E4AB9">
            <w:pPr>
              <w:pStyle w:val="Brdtext"/>
              <w:rPr>
                <w:b/>
              </w:rPr>
            </w:pPr>
            <w:r>
              <w:rPr>
                <w:b/>
              </w:rPr>
              <w:t>Steg</w:t>
            </w:r>
          </w:p>
        </w:tc>
        <w:tc>
          <w:tcPr>
            <w:tcW w:w="2610" w:type="dxa"/>
            <w:shd w:val="clear" w:color="auto" w:fill="D9D9D9" w:themeFill="background1" w:themeFillShade="D9"/>
          </w:tcPr>
          <w:p w14:paraId="3AF628CA" w14:textId="77777777" w:rsidR="005E4AB9" w:rsidRPr="004674A7" w:rsidRDefault="005E4AB9" w:rsidP="005E4AB9">
            <w:pPr>
              <w:pStyle w:val="Brdtext"/>
              <w:rPr>
                <w:b/>
              </w:rPr>
            </w:pPr>
            <w:r w:rsidRPr="004674A7">
              <w:rPr>
                <w:b/>
              </w:rPr>
              <w:t>Tid [minuter]</w:t>
            </w:r>
          </w:p>
        </w:tc>
        <w:tc>
          <w:tcPr>
            <w:tcW w:w="2585" w:type="dxa"/>
            <w:shd w:val="clear" w:color="auto" w:fill="D9D9D9" w:themeFill="background1" w:themeFillShade="D9"/>
          </w:tcPr>
          <w:p w14:paraId="1087B217" w14:textId="77777777" w:rsidR="005E4AB9" w:rsidRPr="004674A7" w:rsidRDefault="005E4AB9" w:rsidP="005E4AB9">
            <w:pPr>
              <w:pStyle w:val="Brdtext"/>
              <w:rPr>
                <w:b/>
              </w:rPr>
            </w:pPr>
            <w:r w:rsidRPr="004674A7">
              <w:rPr>
                <w:b/>
              </w:rPr>
              <w:t>Börvärde aFRR [MW]</w:t>
            </w:r>
          </w:p>
        </w:tc>
      </w:tr>
      <w:tr w:rsidR="005E4AB9" w14:paraId="6D698635" w14:textId="77777777" w:rsidTr="005E4AB9">
        <w:tc>
          <w:tcPr>
            <w:tcW w:w="2165" w:type="dxa"/>
          </w:tcPr>
          <w:p w14:paraId="4D34E7C6" w14:textId="77777777" w:rsidR="005E4AB9" w:rsidRDefault="005E4AB9" w:rsidP="005E4AB9">
            <w:pPr>
              <w:pStyle w:val="Brdtext"/>
            </w:pPr>
            <w:r>
              <w:t>0</w:t>
            </w:r>
          </w:p>
        </w:tc>
        <w:tc>
          <w:tcPr>
            <w:tcW w:w="2610" w:type="dxa"/>
          </w:tcPr>
          <w:p w14:paraId="01AC751E" w14:textId="77777777" w:rsidR="005E4AB9" w:rsidRDefault="005E4AB9" w:rsidP="005E4AB9">
            <w:pPr>
              <w:pStyle w:val="Brdtext"/>
            </w:pPr>
            <w:r>
              <w:t>0</w:t>
            </w:r>
          </w:p>
        </w:tc>
        <w:tc>
          <w:tcPr>
            <w:tcW w:w="2585" w:type="dxa"/>
          </w:tcPr>
          <w:p w14:paraId="5015BFBD" w14:textId="77777777" w:rsidR="005E4AB9" w:rsidRDefault="005E4AB9" w:rsidP="005E4AB9">
            <w:pPr>
              <w:pStyle w:val="Brdtext"/>
            </w:pPr>
            <w:r>
              <w:t>0</w:t>
            </w:r>
          </w:p>
        </w:tc>
      </w:tr>
      <w:tr w:rsidR="005E4AB9" w14:paraId="49213C95" w14:textId="77777777" w:rsidTr="005E4AB9">
        <w:tc>
          <w:tcPr>
            <w:tcW w:w="2165" w:type="dxa"/>
          </w:tcPr>
          <w:p w14:paraId="044E9A37" w14:textId="77777777" w:rsidR="005E4AB9" w:rsidRDefault="005E4AB9" w:rsidP="005E4AB9">
            <w:pPr>
              <w:pStyle w:val="Brdtext"/>
            </w:pPr>
            <w:r>
              <w:t>1</w:t>
            </w:r>
          </w:p>
        </w:tc>
        <w:tc>
          <w:tcPr>
            <w:tcW w:w="2610" w:type="dxa"/>
          </w:tcPr>
          <w:p w14:paraId="567EE64D" w14:textId="77777777" w:rsidR="005E4AB9" w:rsidRDefault="005E4AB9" w:rsidP="005E4AB9">
            <w:pPr>
              <w:pStyle w:val="Brdtext"/>
            </w:pPr>
            <w:r>
              <w:t>5</w:t>
            </w:r>
          </w:p>
        </w:tc>
        <w:tc>
          <w:tcPr>
            <w:tcW w:w="2585" w:type="dxa"/>
          </w:tcPr>
          <w:p w14:paraId="5D560C43" w14:textId="77777777" w:rsidR="005E4AB9" w:rsidRDefault="005E4AB9" w:rsidP="005E4AB9">
            <w:pPr>
              <w:pStyle w:val="Brdtext"/>
            </w:pPr>
            <w:r>
              <w:t>1</w:t>
            </w:r>
          </w:p>
        </w:tc>
      </w:tr>
      <w:tr w:rsidR="005E4AB9" w14:paraId="63E3D48A" w14:textId="77777777" w:rsidTr="005E4AB9">
        <w:tc>
          <w:tcPr>
            <w:tcW w:w="2165" w:type="dxa"/>
          </w:tcPr>
          <w:p w14:paraId="1B1DFC98" w14:textId="77777777" w:rsidR="005E4AB9" w:rsidRDefault="005E4AB9" w:rsidP="005E4AB9">
            <w:pPr>
              <w:pStyle w:val="Brdtext"/>
            </w:pPr>
            <w:r>
              <w:t>2</w:t>
            </w:r>
          </w:p>
        </w:tc>
        <w:tc>
          <w:tcPr>
            <w:tcW w:w="2610" w:type="dxa"/>
          </w:tcPr>
          <w:p w14:paraId="68700C3D" w14:textId="77777777" w:rsidR="005E4AB9" w:rsidRDefault="005E4AB9" w:rsidP="005E4AB9">
            <w:pPr>
              <w:pStyle w:val="Brdtext"/>
            </w:pPr>
            <w:r>
              <w:t>11</w:t>
            </w:r>
          </w:p>
        </w:tc>
        <w:tc>
          <w:tcPr>
            <w:tcW w:w="2585" w:type="dxa"/>
          </w:tcPr>
          <w:p w14:paraId="2D9262C4" w14:textId="0C444EA1" w:rsidR="005E4AB9" w:rsidRDefault="005E4AB9" w:rsidP="005E4AB9">
            <w:pPr>
              <w:pStyle w:val="Brdtext"/>
            </w:pPr>
            <w:r>
              <w:t>2</w:t>
            </w:r>
          </w:p>
        </w:tc>
      </w:tr>
      <w:tr w:rsidR="005E4AB9" w14:paraId="4AADDB0F" w14:textId="77777777" w:rsidTr="005E4AB9">
        <w:tc>
          <w:tcPr>
            <w:tcW w:w="2165" w:type="dxa"/>
          </w:tcPr>
          <w:p w14:paraId="365D9C15" w14:textId="77777777" w:rsidR="005E4AB9" w:rsidRDefault="005E4AB9" w:rsidP="005E4AB9">
            <w:pPr>
              <w:pStyle w:val="Brdtext"/>
            </w:pPr>
            <w:r>
              <w:t>3</w:t>
            </w:r>
          </w:p>
        </w:tc>
        <w:tc>
          <w:tcPr>
            <w:tcW w:w="2610" w:type="dxa"/>
          </w:tcPr>
          <w:p w14:paraId="4039A553" w14:textId="77777777" w:rsidR="005E4AB9" w:rsidRDefault="005E4AB9" w:rsidP="005E4AB9">
            <w:pPr>
              <w:pStyle w:val="Brdtext"/>
            </w:pPr>
            <w:r>
              <w:t>12</w:t>
            </w:r>
          </w:p>
        </w:tc>
        <w:tc>
          <w:tcPr>
            <w:tcW w:w="2585" w:type="dxa"/>
          </w:tcPr>
          <w:p w14:paraId="7E8836DE" w14:textId="6AD5E48F" w:rsidR="005E4AB9" w:rsidRDefault="005E4AB9" w:rsidP="005E4AB9">
            <w:pPr>
              <w:pStyle w:val="Brdtext"/>
            </w:pPr>
            <w:r>
              <w:t>3</w:t>
            </w:r>
          </w:p>
        </w:tc>
      </w:tr>
      <w:tr w:rsidR="005E4AB9" w14:paraId="18C50A81" w14:textId="77777777" w:rsidTr="005E4AB9">
        <w:tc>
          <w:tcPr>
            <w:tcW w:w="2165" w:type="dxa"/>
          </w:tcPr>
          <w:p w14:paraId="0AB9A465" w14:textId="77777777" w:rsidR="005E4AB9" w:rsidRDefault="005E4AB9" w:rsidP="005E4AB9">
            <w:pPr>
              <w:pStyle w:val="Brdtext"/>
            </w:pPr>
            <w:r>
              <w:t>4</w:t>
            </w:r>
          </w:p>
        </w:tc>
        <w:tc>
          <w:tcPr>
            <w:tcW w:w="2610" w:type="dxa"/>
          </w:tcPr>
          <w:p w14:paraId="0EE47748" w14:textId="77777777" w:rsidR="005E4AB9" w:rsidRDefault="005E4AB9" w:rsidP="005E4AB9">
            <w:pPr>
              <w:pStyle w:val="Brdtext"/>
            </w:pPr>
            <w:r>
              <w:t>13</w:t>
            </w:r>
          </w:p>
        </w:tc>
        <w:tc>
          <w:tcPr>
            <w:tcW w:w="2585" w:type="dxa"/>
          </w:tcPr>
          <w:p w14:paraId="6DC0CEA9" w14:textId="5438343B" w:rsidR="005E4AB9" w:rsidRDefault="005E4AB9" w:rsidP="005E4AB9">
            <w:pPr>
              <w:pStyle w:val="Brdtext"/>
            </w:pPr>
            <w:r>
              <w:t>4</w:t>
            </w:r>
          </w:p>
        </w:tc>
      </w:tr>
      <w:tr w:rsidR="005E4AB9" w14:paraId="45EAB17A" w14:textId="77777777" w:rsidTr="005E4AB9">
        <w:tc>
          <w:tcPr>
            <w:tcW w:w="2165" w:type="dxa"/>
          </w:tcPr>
          <w:p w14:paraId="5A30B9EC" w14:textId="77777777" w:rsidR="005E4AB9" w:rsidRDefault="005E4AB9" w:rsidP="005E4AB9">
            <w:pPr>
              <w:pStyle w:val="Brdtext"/>
            </w:pPr>
            <w:r>
              <w:t>5</w:t>
            </w:r>
          </w:p>
        </w:tc>
        <w:tc>
          <w:tcPr>
            <w:tcW w:w="2610" w:type="dxa"/>
          </w:tcPr>
          <w:p w14:paraId="1A598261" w14:textId="77777777" w:rsidR="005E4AB9" w:rsidRDefault="005E4AB9" w:rsidP="005E4AB9">
            <w:pPr>
              <w:pStyle w:val="Brdtext"/>
            </w:pPr>
            <w:r>
              <w:t>19</w:t>
            </w:r>
          </w:p>
        </w:tc>
        <w:tc>
          <w:tcPr>
            <w:tcW w:w="2585" w:type="dxa"/>
          </w:tcPr>
          <w:p w14:paraId="76EB8F70" w14:textId="7B0A3044" w:rsidR="005E4AB9" w:rsidRDefault="005E4AB9" w:rsidP="005E4AB9">
            <w:pPr>
              <w:pStyle w:val="Brdtext"/>
            </w:pPr>
            <w:r>
              <w:t>3</w:t>
            </w:r>
          </w:p>
        </w:tc>
      </w:tr>
      <w:tr w:rsidR="005E4AB9" w14:paraId="5BBB7F8C" w14:textId="77777777" w:rsidTr="005E4AB9">
        <w:tc>
          <w:tcPr>
            <w:tcW w:w="2165" w:type="dxa"/>
          </w:tcPr>
          <w:p w14:paraId="57A75D7A" w14:textId="77777777" w:rsidR="005E4AB9" w:rsidRDefault="005E4AB9" w:rsidP="005E4AB9">
            <w:pPr>
              <w:pStyle w:val="Brdtext"/>
            </w:pPr>
            <w:r>
              <w:t>6</w:t>
            </w:r>
          </w:p>
        </w:tc>
        <w:tc>
          <w:tcPr>
            <w:tcW w:w="2610" w:type="dxa"/>
          </w:tcPr>
          <w:p w14:paraId="4AB9E816" w14:textId="77777777" w:rsidR="005E4AB9" w:rsidRDefault="005E4AB9" w:rsidP="005E4AB9">
            <w:pPr>
              <w:pStyle w:val="Brdtext"/>
            </w:pPr>
            <w:r>
              <w:t>20</w:t>
            </w:r>
          </w:p>
        </w:tc>
        <w:tc>
          <w:tcPr>
            <w:tcW w:w="2585" w:type="dxa"/>
          </w:tcPr>
          <w:p w14:paraId="59097ADE" w14:textId="0D35AABB" w:rsidR="005E4AB9" w:rsidRDefault="005E4AB9" w:rsidP="005E4AB9">
            <w:pPr>
              <w:pStyle w:val="Brdtext"/>
            </w:pPr>
            <w:r>
              <w:t>2</w:t>
            </w:r>
          </w:p>
        </w:tc>
      </w:tr>
      <w:tr w:rsidR="005E4AB9" w14:paraId="290688EB" w14:textId="77777777" w:rsidTr="005E4AB9">
        <w:tc>
          <w:tcPr>
            <w:tcW w:w="2165" w:type="dxa"/>
          </w:tcPr>
          <w:p w14:paraId="43190316" w14:textId="77777777" w:rsidR="005E4AB9" w:rsidRDefault="005E4AB9" w:rsidP="005E4AB9">
            <w:pPr>
              <w:pStyle w:val="Brdtext"/>
            </w:pPr>
            <w:r>
              <w:t>7</w:t>
            </w:r>
          </w:p>
        </w:tc>
        <w:tc>
          <w:tcPr>
            <w:tcW w:w="2610" w:type="dxa"/>
          </w:tcPr>
          <w:p w14:paraId="31984C0B" w14:textId="77777777" w:rsidR="005E4AB9" w:rsidRDefault="005E4AB9" w:rsidP="005E4AB9">
            <w:pPr>
              <w:pStyle w:val="Brdtext"/>
            </w:pPr>
            <w:r>
              <w:t>21</w:t>
            </w:r>
          </w:p>
        </w:tc>
        <w:tc>
          <w:tcPr>
            <w:tcW w:w="2585" w:type="dxa"/>
          </w:tcPr>
          <w:p w14:paraId="3AAA0ECC" w14:textId="77777777" w:rsidR="005E4AB9" w:rsidRDefault="005E4AB9" w:rsidP="005E4AB9">
            <w:pPr>
              <w:pStyle w:val="Brdtext"/>
            </w:pPr>
            <w:r>
              <w:t>1</w:t>
            </w:r>
          </w:p>
        </w:tc>
      </w:tr>
      <w:tr w:rsidR="005E4AB9" w14:paraId="25412825" w14:textId="77777777" w:rsidTr="005E4AB9">
        <w:tc>
          <w:tcPr>
            <w:tcW w:w="2165" w:type="dxa"/>
          </w:tcPr>
          <w:p w14:paraId="7ABF6CEB" w14:textId="77777777" w:rsidR="005E4AB9" w:rsidRDefault="005E4AB9" w:rsidP="005E4AB9">
            <w:pPr>
              <w:pStyle w:val="Brdtext"/>
            </w:pPr>
            <w:r>
              <w:t>8</w:t>
            </w:r>
          </w:p>
        </w:tc>
        <w:tc>
          <w:tcPr>
            <w:tcW w:w="2610" w:type="dxa"/>
          </w:tcPr>
          <w:p w14:paraId="1CC27380" w14:textId="77777777" w:rsidR="005E4AB9" w:rsidRDefault="005E4AB9" w:rsidP="005E4AB9">
            <w:pPr>
              <w:pStyle w:val="Brdtext"/>
            </w:pPr>
            <w:r>
              <w:t>27</w:t>
            </w:r>
          </w:p>
        </w:tc>
        <w:tc>
          <w:tcPr>
            <w:tcW w:w="2585" w:type="dxa"/>
          </w:tcPr>
          <w:p w14:paraId="6AD5C05A" w14:textId="77777777" w:rsidR="005E4AB9" w:rsidRDefault="005E4AB9" w:rsidP="005E4AB9">
            <w:pPr>
              <w:pStyle w:val="Brdtext"/>
            </w:pPr>
            <w:r>
              <w:t>0</w:t>
            </w:r>
          </w:p>
        </w:tc>
      </w:tr>
      <w:tr w:rsidR="005E4AB9" w14:paraId="446727AA" w14:textId="77777777" w:rsidTr="005E4AB9">
        <w:tc>
          <w:tcPr>
            <w:tcW w:w="2165" w:type="dxa"/>
          </w:tcPr>
          <w:p w14:paraId="4FADD933" w14:textId="77777777" w:rsidR="005E4AB9" w:rsidRDefault="005E4AB9" w:rsidP="005E4AB9">
            <w:pPr>
              <w:pStyle w:val="Brdtext"/>
            </w:pPr>
            <w:r>
              <w:t>9</w:t>
            </w:r>
          </w:p>
        </w:tc>
        <w:tc>
          <w:tcPr>
            <w:tcW w:w="2610" w:type="dxa"/>
          </w:tcPr>
          <w:p w14:paraId="5B72577C" w14:textId="77777777" w:rsidR="005E4AB9" w:rsidRDefault="005E4AB9" w:rsidP="005E4AB9">
            <w:pPr>
              <w:pStyle w:val="Brdtext"/>
            </w:pPr>
            <w:r>
              <w:t>33</w:t>
            </w:r>
          </w:p>
        </w:tc>
        <w:tc>
          <w:tcPr>
            <w:tcW w:w="2585" w:type="dxa"/>
          </w:tcPr>
          <w:p w14:paraId="4C9327B5" w14:textId="77777777" w:rsidR="005E4AB9" w:rsidRDefault="005E4AB9" w:rsidP="005E4AB9">
            <w:pPr>
              <w:pStyle w:val="Brdtext"/>
            </w:pPr>
            <w:r>
              <w:t xml:space="preserve">50% av </w:t>
            </w:r>
            <w:r>
              <w:sym w:font="Symbol" w:char="F044"/>
            </w:r>
            <w:r>
              <w:t>Pmax</w:t>
            </w:r>
          </w:p>
        </w:tc>
      </w:tr>
      <w:tr w:rsidR="005E4AB9" w14:paraId="2704D4EC" w14:textId="77777777" w:rsidTr="005E4AB9">
        <w:tc>
          <w:tcPr>
            <w:tcW w:w="2165" w:type="dxa"/>
          </w:tcPr>
          <w:p w14:paraId="44698797" w14:textId="77777777" w:rsidR="005E4AB9" w:rsidRDefault="005E4AB9" w:rsidP="005E4AB9">
            <w:pPr>
              <w:pStyle w:val="Brdtext"/>
            </w:pPr>
            <w:r>
              <w:t>10</w:t>
            </w:r>
          </w:p>
        </w:tc>
        <w:tc>
          <w:tcPr>
            <w:tcW w:w="2610" w:type="dxa"/>
          </w:tcPr>
          <w:p w14:paraId="1F8375BD" w14:textId="77777777" w:rsidR="005E4AB9" w:rsidRDefault="005E4AB9" w:rsidP="005E4AB9">
            <w:pPr>
              <w:pStyle w:val="Brdtext"/>
            </w:pPr>
            <w:r>
              <w:t>39</w:t>
            </w:r>
          </w:p>
        </w:tc>
        <w:tc>
          <w:tcPr>
            <w:tcW w:w="2585" w:type="dxa"/>
          </w:tcPr>
          <w:p w14:paraId="11488AE3" w14:textId="77777777" w:rsidR="005E4AB9" w:rsidRDefault="005E4AB9" w:rsidP="005E4AB9">
            <w:pPr>
              <w:pStyle w:val="Brdtext"/>
            </w:pPr>
            <w:r>
              <w:t>0</w:t>
            </w:r>
          </w:p>
        </w:tc>
      </w:tr>
      <w:tr w:rsidR="005E4AB9" w14:paraId="0187957A" w14:textId="77777777" w:rsidTr="005E4AB9">
        <w:tc>
          <w:tcPr>
            <w:tcW w:w="2165" w:type="dxa"/>
          </w:tcPr>
          <w:p w14:paraId="7F692CE2" w14:textId="77777777" w:rsidR="005E4AB9" w:rsidRDefault="005E4AB9" w:rsidP="005E4AB9">
            <w:pPr>
              <w:pStyle w:val="Brdtext"/>
            </w:pPr>
            <w:r>
              <w:t>11</w:t>
            </w:r>
          </w:p>
        </w:tc>
        <w:tc>
          <w:tcPr>
            <w:tcW w:w="2610" w:type="dxa"/>
          </w:tcPr>
          <w:p w14:paraId="00EBE16D" w14:textId="77777777" w:rsidR="005E4AB9" w:rsidRDefault="005E4AB9" w:rsidP="005E4AB9">
            <w:pPr>
              <w:pStyle w:val="Brdtext"/>
            </w:pPr>
            <w:r>
              <w:t>45</w:t>
            </w:r>
          </w:p>
        </w:tc>
        <w:tc>
          <w:tcPr>
            <w:tcW w:w="2585" w:type="dxa"/>
          </w:tcPr>
          <w:p w14:paraId="7433C7DE" w14:textId="77777777" w:rsidR="005E4AB9" w:rsidRDefault="005E4AB9" w:rsidP="005E4AB9">
            <w:pPr>
              <w:pStyle w:val="Brdtext"/>
            </w:pPr>
            <w:r>
              <w:t xml:space="preserve">100% av </w:t>
            </w:r>
            <w:r>
              <w:sym w:font="Symbol" w:char="F044"/>
            </w:r>
            <w:r>
              <w:t>Pmax</w:t>
            </w:r>
          </w:p>
        </w:tc>
      </w:tr>
      <w:tr w:rsidR="005E4AB9" w14:paraId="31E099CA" w14:textId="77777777" w:rsidTr="005E4AB9">
        <w:tc>
          <w:tcPr>
            <w:tcW w:w="2165" w:type="dxa"/>
          </w:tcPr>
          <w:p w14:paraId="497E11B5" w14:textId="77777777" w:rsidR="005E4AB9" w:rsidRDefault="005E4AB9" w:rsidP="005E4AB9">
            <w:pPr>
              <w:pStyle w:val="Brdtext"/>
            </w:pPr>
            <w:r>
              <w:t>12</w:t>
            </w:r>
          </w:p>
        </w:tc>
        <w:tc>
          <w:tcPr>
            <w:tcW w:w="2610" w:type="dxa"/>
          </w:tcPr>
          <w:p w14:paraId="047A22ED" w14:textId="77777777" w:rsidR="005E4AB9" w:rsidRDefault="005E4AB9" w:rsidP="005E4AB9">
            <w:pPr>
              <w:pStyle w:val="Brdtext"/>
            </w:pPr>
            <w:r>
              <w:t>51</w:t>
            </w:r>
          </w:p>
        </w:tc>
        <w:tc>
          <w:tcPr>
            <w:tcW w:w="2585" w:type="dxa"/>
          </w:tcPr>
          <w:p w14:paraId="5C9A98B1" w14:textId="77777777" w:rsidR="005E4AB9" w:rsidRDefault="005E4AB9" w:rsidP="005E4AB9">
            <w:pPr>
              <w:pStyle w:val="Brdtext"/>
            </w:pPr>
            <w:r>
              <w:t>0</w:t>
            </w:r>
          </w:p>
        </w:tc>
      </w:tr>
    </w:tbl>
    <w:p w14:paraId="6E6644C8" w14:textId="6E1DFE67" w:rsidR="00830C6C" w:rsidRDefault="00830C6C" w:rsidP="00655BF4">
      <w:pPr>
        <w:pStyle w:val="Brdtext"/>
      </w:pPr>
    </w:p>
    <w:p w14:paraId="0FB5B1CD" w14:textId="59CD06A7" w:rsidR="00074ECF" w:rsidRDefault="00074ECF" w:rsidP="00655BF4">
      <w:pPr>
        <w:pStyle w:val="Brdtext"/>
      </w:pPr>
    </w:p>
    <w:p w14:paraId="29851208" w14:textId="77777777" w:rsidR="00074ECF" w:rsidRDefault="00074ECF" w:rsidP="00655BF4">
      <w:pPr>
        <w:pStyle w:val="Brdtext"/>
      </w:pPr>
    </w:p>
    <w:p w14:paraId="0197CDAA" w14:textId="5158B882" w:rsidR="005E4AB9" w:rsidRDefault="00DD40BC" w:rsidP="005E4AB9">
      <w:pPr>
        <w:pStyle w:val="Rubrik2"/>
      </w:pPr>
      <w:r>
        <w:lastRenderedPageBreak/>
        <w:t>Maxk</w:t>
      </w:r>
      <w:r w:rsidR="005E4AB9">
        <w:t xml:space="preserve">apacitet </w:t>
      </w:r>
      <w:r>
        <w:t xml:space="preserve">aFRR </w:t>
      </w:r>
      <w:r w:rsidR="005E4AB9">
        <w:t>4-9 MW, nedreglering</w:t>
      </w:r>
    </w:p>
    <w:tbl>
      <w:tblPr>
        <w:tblStyle w:val="Tabellrutnt"/>
        <w:tblW w:w="0" w:type="auto"/>
        <w:tblLook w:val="04A0" w:firstRow="1" w:lastRow="0" w:firstColumn="1" w:lastColumn="0" w:noHBand="0" w:noVBand="1"/>
      </w:tblPr>
      <w:tblGrid>
        <w:gridCol w:w="2165"/>
        <w:gridCol w:w="2610"/>
        <w:gridCol w:w="2585"/>
      </w:tblGrid>
      <w:tr w:rsidR="005E4AB9" w14:paraId="12D1D270" w14:textId="77777777" w:rsidTr="005E4AB9">
        <w:tc>
          <w:tcPr>
            <w:tcW w:w="2165" w:type="dxa"/>
            <w:shd w:val="clear" w:color="auto" w:fill="D9D9D9" w:themeFill="background1" w:themeFillShade="D9"/>
          </w:tcPr>
          <w:p w14:paraId="769CB15F" w14:textId="77777777" w:rsidR="005E4AB9" w:rsidRPr="004674A7" w:rsidRDefault="005E4AB9" w:rsidP="005E4AB9">
            <w:pPr>
              <w:pStyle w:val="Brdtext"/>
              <w:rPr>
                <w:b/>
              </w:rPr>
            </w:pPr>
            <w:r>
              <w:rPr>
                <w:b/>
              </w:rPr>
              <w:t>Steg</w:t>
            </w:r>
          </w:p>
        </w:tc>
        <w:tc>
          <w:tcPr>
            <w:tcW w:w="2610" w:type="dxa"/>
            <w:shd w:val="clear" w:color="auto" w:fill="D9D9D9" w:themeFill="background1" w:themeFillShade="D9"/>
          </w:tcPr>
          <w:p w14:paraId="744D7D6C" w14:textId="77777777" w:rsidR="005E4AB9" w:rsidRPr="004674A7" w:rsidRDefault="005E4AB9" w:rsidP="005E4AB9">
            <w:pPr>
              <w:pStyle w:val="Brdtext"/>
              <w:rPr>
                <w:b/>
              </w:rPr>
            </w:pPr>
            <w:r w:rsidRPr="004674A7">
              <w:rPr>
                <w:b/>
              </w:rPr>
              <w:t>Tid [minuter]</w:t>
            </w:r>
          </w:p>
        </w:tc>
        <w:tc>
          <w:tcPr>
            <w:tcW w:w="2585" w:type="dxa"/>
            <w:shd w:val="clear" w:color="auto" w:fill="D9D9D9" w:themeFill="background1" w:themeFillShade="D9"/>
          </w:tcPr>
          <w:p w14:paraId="5BD1986F" w14:textId="77777777" w:rsidR="005E4AB9" w:rsidRPr="004674A7" w:rsidRDefault="005E4AB9" w:rsidP="005E4AB9">
            <w:pPr>
              <w:pStyle w:val="Brdtext"/>
              <w:rPr>
                <w:b/>
              </w:rPr>
            </w:pPr>
            <w:r w:rsidRPr="004674A7">
              <w:rPr>
                <w:b/>
              </w:rPr>
              <w:t>Börvärde aFRR [MW]</w:t>
            </w:r>
          </w:p>
        </w:tc>
      </w:tr>
      <w:tr w:rsidR="005E4AB9" w14:paraId="5D192C0F" w14:textId="77777777" w:rsidTr="005E4AB9">
        <w:tc>
          <w:tcPr>
            <w:tcW w:w="2165" w:type="dxa"/>
          </w:tcPr>
          <w:p w14:paraId="1682CCAF" w14:textId="77777777" w:rsidR="005E4AB9" w:rsidRDefault="005E4AB9" w:rsidP="005E4AB9">
            <w:pPr>
              <w:pStyle w:val="Brdtext"/>
            </w:pPr>
            <w:r>
              <w:t>0</w:t>
            </w:r>
          </w:p>
        </w:tc>
        <w:tc>
          <w:tcPr>
            <w:tcW w:w="2610" w:type="dxa"/>
          </w:tcPr>
          <w:p w14:paraId="32F31FAE" w14:textId="77777777" w:rsidR="005E4AB9" w:rsidRDefault="005E4AB9" w:rsidP="005E4AB9">
            <w:pPr>
              <w:pStyle w:val="Brdtext"/>
            </w:pPr>
            <w:r>
              <w:t>0</w:t>
            </w:r>
          </w:p>
        </w:tc>
        <w:tc>
          <w:tcPr>
            <w:tcW w:w="2585" w:type="dxa"/>
          </w:tcPr>
          <w:p w14:paraId="34132257" w14:textId="77777777" w:rsidR="005E4AB9" w:rsidRDefault="005E4AB9" w:rsidP="005E4AB9">
            <w:pPr>
              <w:pStyle w:val="Brdtext"/>
            </w:pPr>
            <w:r>
              <w:t>0</w:t>
            </w:r>
          </w:p>
        </w:tc>
      </w:tr>
      <w:tr w:rsidR="005E4AB9" w14:paraId="5F252929" w14:textId="77777777" w:rsidTr="005E4AB9">
        <w:tc>
          <w:tcPr>
            <w:tcW w:w="2165" w:type="dxa"/>
          </w:tcPr>
          <w:p w14:paraId="29BC2E17" w14:textId="77777777" w:rsidR="005E4AB9" w:rsidRDefault="005E4AB9" w:rsidP="005E4AB9">
            <w:pPr>
              <w:pStyle w:val="Brdtext"/>
            </w:pPr>
            <w:r>
              <w:t>1</w:t>
            </w:r>
          </w:p>
        </w:tc>
        <w:tc>
          <w:tcPr>
            <w:tcW w:w="2610" w:type="dxa"/>
          </w:tcPr>
          <w:p w14:paraId="3340FEC0" w14:textId="77777777" w:rsidR="005E4AB9" w:rsidRDefault="005E4AB9" w:rsidP="005E4AB9">
            <w:pPr>
              <w:pStyle w:val="Brdtext"/>
            </w:pPr>
            <w:r>
              <w:t>5</w:t>
            </w:r>
          </w:p>
        </w:tc>
        <w:tc>
          <w:tcPr>
            <w:tcW w:w="2585" w:type="dxa"/>
          </w:tcPr>
          <w:p w14:paraId="5F79CFC9" w14:textId="528DDAF8" w:rsidR="005E4AB9" w:rsidRDefault="005E4AB9" w:rsidP="005E4AB9">
            <w:pPr>
              <w:pStyle w:val="Brdtext"/>
            </w:pPr>
            <w:r>
              <w:t>-1</w:t>
            </w:r>
          </w:p>
        </w:tc>
      </w:tr>
      <w:tr w:rsidR="005E4AB9" w14:paraId="5D345806" w14:textId="77777777" w:rsidTr="005E4AB9">
        <w:tc>
          <w:tcPr>
            <w:tcW w:w="2165" w:type="dxa"/>
          </w:tcPr>
          <w:p w14:paraId="2FA8ED40" w14:textId="77777777" w:rsidR="005E4AB9" w:rsidRDefault="005E4AB9" w:rsidP="005E4AB9">
            <w:pPr>
              <w:pStyle w:val="Brdtext"/>
            </w:pPr>
            <w:r>
              <w:t>2</w:t>
            </w:r>
          </w:p>
        </w:tc>
        <w:tc>
          <w:tcPr>
            <w:tcW w:w="2610" w:type="dxa"/>
          </w:tcPr>
          <w:p w14:paraId="7EA2848A" w14:textId="77777777" w:rsidR="005E4AB9" w:rsidRDefault="005E4AB9" w:rsidP="005E4AB9">
            <w:pPr>
              <w:pStyle w:val="Brdtext"/>
            </w:pPr>
            <w:r>
              <w:t>11</w:t>
            </w:r>
          </w:p>
        </w:tc>
        <w:tc>
          <w:tcPr>
            <w:tcW w:w="2585" w:type="dxa"/>
          </w:tcPr>
          <w:p w14:paraId="3BC3AF99" w14:textId="3486FC79" w:rsidR="005E4AB9" w:rsidRDefault="005E4AB9" w:rsidP="005E4AB9">
            <w:pPr>
              <w:pStyle w:val="Brdtext"/>
            </w:pPr>
            <w:r>
              <w:t>-2</w:t>
            </w:r>
          </w:p>
        </w:tc>
      </w:tr>
      <w:tr w:rsidR="005E4AB9" w14:paraId="17D8A911" w14:textId="77777777" w:rsidTr="005E4AB9">
        <w:tc>
          <w:tcPr>
            <w:tcW w:w="2165" w:type="dxa"/>
          </w:tcPr>
          <w:p w14:paraId="3C21B70C" w14:textId="77777777" w:rsidR="005E4AB9" w:rsidRDefault="005E4AB9" w:rsidP="005E4AB9">
            <w:pPr>
              <w:pStyle w:val="Brdtext"/>
            </w:pPr>
            <w:r>
              <w:t>3</w:t>
            </w:r>
          </w:p>
        </w:tc>
        <w:tc>
          <w:tcPr>
            <w:tcW w:w="2610" w:type="dxa"/>
          </w:tcPr>
          <w:p w14:paraId="74780B2B" w14:textId="77777777" w:rsidR="005E4AB9" w:rsidRDefault="005E4AB9" w:rsidP="005E4AB9">
            <w:pPr>
              <w:pStyle w:val="Brdtext"/>
            </w:pPr>
            <w:r>
              <w:t>12</w:t>
            </w:r>
          </w:p>
        </w:tc>
        <w:tc>
          <w:tcPr>
            <w:tcW w:w="2585" w:type="dxa"/>
          </w:tcPr>
          <w:p w14:paraId="3C515939" w14:textId="6BCB788C" w:rsidR="005E4AB9" w:rsidRDefault="005E4AB9" w:rsidP="005E4AB9">
            <w:pPr>
              <w:pStyle w:val="Brdtext"/>
            </w:pPr>
            <w:r>
              <w:t>-3</w:t>
            </w:r>
          </w:p>
        </w:tc>
      </w:tr>
      <w:tr w:rsidR="005E4AB9" w14:paraId="3034E8C3" w14:textId="77777777" w:rsidTr="005E4AB9">
        <w:tc>
          <w:tcPr>
            <w:tcW w:w="2165" w:type="dxa"/>
          </w:tcPr>
          <w:p w14:paraId="6DDA9DFB" w14:textId="77777777" w:rsidR="005E4AB9" w:rsidRDefault="005E4AB9" w:rsidP="005E4AB9">
            <w:pPr>
              <w:pStyle w:val="Brdtext"/>
            </w:pPr>
            <w:r>
              <w:t>4</w:t>
            </w:r>
          </w:p>
        </w:tc>
        <w:tc>
          <w:tcPr>
            <w:tcW w:w="2610" w:type="dxa"/>
          </w:tcPr>
          <w:p w14:paraId="76EB97D9" w14:textId="77777777" w:rsidR="005E4AB9" w:rsidRDefault="005E4AB9" w:rsidP="005E4AB9">
            <w:pPr>
              <w:pStyle w:val="Brdtext"/>
            </w:pPr>
            <w:r>
              <w:t>13</w:t>
            </w:r>
          </w:p>
        </w:tc>
        <w:tc>
          <w:tcPr>
            <w:tcW w:w="2585" w:type="dxa"/>
          </w:tcPr>
          <w:p w14:paraId="472D4ECD" w14:textId="21FF1502" w:rsidR="005E4AB9" w:rsidRDefault="005E4AB9" w:rsidP="005E4AB9">
            <w:pPr>
              <w:pStyle w:val="Brdtext"/>
            </w:pPr>
            <w:r>
              <w:t>-4</w:t>
            </w:r>
          </w:p>
        </w:tc>
      </w:tr>
      <w:tr w:rsidR="005E4AB9" w14:paraId="1EC61419" w14:textId="77777777" w:rsidTr="005E4AB9">
        <w:tc>
          <w:tcPr>
            <w:tcW w:w="2165" w:type="dxa"/>
          </w:tcPr>
          <w:p w14:paraId="78D255F5" w14:textId="77777777" w:rsidR="005E4AB9" w:rsidRDefault="005E4AB9" w:rsidP="005E4AB9">
            <w:pPr>
              <w:pStyle w:val="Brdtext"/>
            </w:pPr>
            <w:r>
              <w:t>5</w:t>
            </w:r>
          </w:p>
        </w:tc>
        <w:tc>
          <w:tcPr>
            <w:tcW w:w="2610" w:type="dxa"/>
          </w:tcPr>
          <w:p w14:paraId="38387F08" w14:textId="77777777" w:rsidR="005E4AB9" w:rsidRDefault="005E4AB9" w:rsidP="005E4AB9">
            <w:pPr>
              <w:pStyle w:val="Brdtext"/>
            </w:pPr>
            <w:r>
              <w:t>19</w:t>
            </w:r>
          </w:p>
        </w:tc>
        <w:tc>
          <w:tcPr>
            <w:tcW w:w="2585" w:type="dxa"/>
          </w:tcPr>
          <w:p w14:paraId="6A6E2674" w14:textId="02F1FB8C" w:rsidR="005E4AB9" w:rsidRDefault="005E4AB9" w:rsidP="005E4AB9">
            <w:pPr>
              <w:pStyle w:val="Brdtext"/>
            </w:pPr>
            <w:r>
              <w:t>-3</w:t>
            </w:r>
          </w:p>
        </w:tc>
      </w:tr>
      <w:tr w:rsidR="005E4AB9" w14:paraId="31B8046E" w14:textId="77777777" w:rsidTr="005E4AB9">
        <w:tc>
          <w:tcPr>
            <w:tcW w:w="2165" w:type="dxa"/>
          </w:tcPr>
          <w:p w14:paraId="2FFDC266" w14:textId="77777777" w:rsidR="005E4AB9" w:rsidRDefault="005E4AB9" w:rsidP="005E4AB9">
            <w:pPr>
              <w:pStyle w:val="Brdtext"/>
            </w:pPr>
            <w:r>
              <w:t>6</w:t>
            </w:r>
          </w:p>
        </w:tc>
        <w:tc>
          <w:tcPr>
            <w:tcW w:w="2610" w:type="dxa"/>
          </w:tcPr>
          <w:p w14:paraId="35178930" w14:textId="77777777" w:rsidR="005E4AB9" w:rsidRDefault="005E4AB9" w:rsidP="005E4AB9">
            <w:pPr>
              <w:pStyle w:val="Brdtext"/>
            </w:pPr>
            <w:r>
              <w:t>20</w:t>
            </w:r>
          </w:p>
        </w:tc>
        <w:tc>
          <w:tcPr>
            <w:tcW w:w="2585" w:type="dxa"/>
          </w:tcPr>
          <w:p w14:paraId="62F6D0E0" w14:textId="6BA90207" w:rsidR="005E4AB9" w:rsidRDefault="005E4AB9" w:rsidP="005E4AB9">
            <w:pPr>
              <w:pStyle w:val="Brdtext"/>
            </w:pPr>
            <w:r>
              <w:t>-2</w:t>
            </w:r>
          </w:p>
        </w:tc>
      </w:tr>
      <w:tr w:rsidR="005E4AB9" w14:paraId="174301FD" w14:textId="77777777" w:rsidTr="005E4AB9">
        <w:tc>
          <w:tcPr>
            <w:tcW w:w="2165" w:type="dxa"/>
          </w:tcPr>
          <w:p w14:paraId="7B8ECEBE" w14:textId="77777777" w:rsidR="005E4AB9" w:rsidRDefault="005E4AB9" w:rsidP="005E4AB9">
            <w:pPr>
              <w:pStyle w:val="Brdtext"/>
            </w:pPr>
            <w:r>
              <w:t>7</w:t>
            </w:r>
          </w:p>
        </w:tc>
        <w:tc>
          <w:tcPr>
            <w:tcW w:w="2610" w:type="dxa"/>
          </w:tcPr>
          <w:p w14:paraId="309E469C" w14:textId="77777777" w:rsidR="005E4AB9" w:rsidRDefault="005E4AB9" w:rsidP="005E4AB9">
            <w:pPr>
              <w:pStyle w:val="Brdtext"/>
            </w:pPr>
            <w:r>
              <w:t>21</w:t>
            </w:r>
          </w:p>
        </w:tc>
        <w:tc>
          <w:tcPr>
            <w:tcW w:w="2585" w:type="dxa"/>
          </w:tcPr>
          <w:p w14:paraId="4307A49D" w14:textId="2995DB14" w:rsidR="005E4AB9" w:rsidRDefault="005E4AB9" w:rsidP="005E4AB9">
            <w:pPr>
              <w:pStyle w:val="Brdtext"/>
            </w:pPr>
            <w:r>
              <w:t>-1</w:t>
            </w:r>
          </w:p>
        </w:tc>
      </w:tr>
      <w:tr w:rsidR="005E4AB9" w14:paraId="22779EC3" w14:textId="77777777" w:rsidTr="005E4AB9">
        <w:tc>
          <w:tcPr>
            <w:tcW w:w="2165" w:type="dxa"/>
          </w:tcPr>
          <w:p w14:paraId="00B0106B" w14:textId="77777777" w:rsidR="005E4AB9" w:rsidRDefault="005E4AB9" w:rsidP="005E4AB9">
            <w:pPr>
              <w:pStyle w:val="Brdtext"/>
            </w:pPr>
            <w:r>
              <w:t>8</w:t>
            </w:r>
          </w:p>
        </w:tc>
        <w:tc>
          <w:tcPr>
            <w:tcW w:w="2610" w:type="dxa"/>
          </w:tcPr>
          <w:p w14:paraId="7D72939D" w14:textId="77777777" w:rsidR="005E4AB9" w:rsidRDefault="005E4AB9" w:rsidP="005E4AB9">
            <w:pPr>
              <w:pStyle w:val="Brdtext"/>
            </w:pPr>
            <w:r>
              <w:t>27</w:t>
            </w:r>
          </w:p>
        </w:tc>
        <w:tc>
          <w:tcPr>
            <w:tcW w:w="2585" w:type="dxa"/>
          </w:tcPr>
          <w:p w14:paraId="2F95D776" w14:textId="77777777" w:rsidR="005E4AB9" w:rsidRDefault="005E4AB9" w:rsidP="005E4AB9">
            <w:pPr>
              <w:pStyle w:val="Brdtext"/>
            </w:pPr>
            <w:r>
              <w:t>0</w:t>
            </w:r>
          </w:p>
        </w:tc>
      </w:tr>
      <w:tr w:rsidR="005E4AB9" w14:paraId="7A874243" w14:textId="77777777" w:rsidTr="005E4AB9">
        <w:tc>
          <w:tcPr>
            <w:tcW w:w="2165" w:type="dxa"/>
          </w:tcPr>
          <w:p w14:paraId="621270F6" w14:textId="77777777" w:rsidR="005E4AB9" w:rsidRDefault="005E4AB9" w:rsidP="005E4AB9">
            <w:pPr>
              <w:pStyle w:val="Brdtext"/>
            </w:pPr>
            <w:r>
              <w:t>9</w:t>
            </w:r>
          </w:p>
        </w:tc>
        <w:tc>
          <w:tcPr>
            <w:tcW w:w="2610" w:type="dxa"/>
          </w:tcPr>
          <w:p w14:paraId="78846A33" w14:textId="77777777" w:rsidR="005E4AB9" w:rsidRDefault="005E4AB9" w:rsidP="005E4AB9">
            <w:pPr>
              <w:pStyle w:val="Brdtext"/>
            </w:pPr>
            <w:r>
              <w:t>33</w:t>
            </w:r>
          </w:p>
        </w:tc>
        <w:tc>
          <w:tcPr>
            <w:tcW w:w="2585" w:type="dxa"/>
          </w:tcPr>
          <w:p w14:paraId="0AEB28C2" w14:textId="52893803" w:rsidR="005E4AB9" w:rsidRDefault="005E4AB9" w:rsidP="005E4AB9">
            <w:pPr>
              <w:pStyle w:val="Brdtext"/>
            </w:pPr>
            <w:r>
              <w:t>50</w:t>
            </w:r>
            <w:r w:rsidR="00DA1654">
              <w:t xml:space="preserve"> </w:t>
            </w:r>
            <w:r>
              <w:t xml:space="preserve">% av </w:t>
            </w:r>
            <w:r>
              <w:sym w:font="Symbol" w:char="F044"/>
            </w:r>
            <w:r>
              <w:t>Pmax</w:t>
            </w:r>
          </w:p>
        </w:tc>
      </w:tr>
      <w:tr w:rsidR="005E4AB9" w14:paraId="0431B51F" w14:textId="77777777" w:rsidTr="005E4AB9">
        <w:tc>
          <w:tcPr>
            <w:tcW w:w="2165" w:type="dxa"/>
          </w:tcPr>
          <w:p w14:paraId="3205EF7D" w14:textId="77777777" w:rsidR="005E4AB9" w:rsidRDefault="005E4AB9" w:rsidP="005E4AB9">
            <w:pPr>
              <w:pStyle w:val="Brdtext"/>
            </w:pPr>
            <w:r>
              <w:t>10</w:t>
            </w:r>
          </w:p>
        </w:tc>
        <w:tc>
          <w:tcPr>
            <w:tcW w:w="2610" w:type="dxa"/>
          </w:tcPr>
          <w:p w14:paraId="28C15EA9" w14:textId="77777777" w:rsidR="005E4AB9" w:rsidRDefault="005E4AB9" w:rsidP="005E4AB9">
            <w:pPr>
              <w:pStyle w:val="Brdtext"/>
            </w:pPr>
            <w:r>
              <w:t>39</w:t>
            </w:r>
          </w:p>
        </w:tc>
        <w:tc>
          <w:tcPr>
            <w:tcW w:w="2585" w:type="dxa"/>
          </w:tcPr>
          <w:p w14:paraId="1D59417A" w14:textId="77777777" w:rsidR="005E4AB9" w:rsidRDefault="005E4AB9" w:rsidP="005E4AB9">
            <w:pPr>
              <w:pStyle w:val="Brdtext"/>
            </w:pPr>
            <w:r>
              <w:t>0</w:t>
            </w:r>
          </w:p>
        </w:tc>
      </w:tr>
      <w:tr w:rsidR="005E4AB9" w14:paraId="6A4A39BA" w14:textId="77777777" w:rsidTr="005E4AB9">
        <w:tc>
          <w:tcPr>
            <w:tcW w:w="2165" w:type="dxa"/>
          </w:tcPr>
          <w:p w14:paraId="01FE2AE6" w14:textId="77777777" w:rsidR="005E4AB9" w:rsidRDefault="005E4AB9" w:rsidP="005E4AB9">
            <w:pPr>
              <w:pStyle w:val="Brdtext"/>
            </w:pPr>
            <w:r>
              <w:t>11</w:t>
            </w:r>
          </w:p>
        </w:tc>
        <w:tc>
          <w:tcPr>
            <w:tcW w:w="2610" w:type="dxa"/>
          </w:tcPr>
          <w:p w14:paraId="0EC07BB8" w14:textId="77777777" w:rsidR="005E4AB9" w:rsidRDefault="005E4AB9" w:rsidP="005E4AB9">
            <w:pPr>
              <w:pStyle w:val="Brdtext"/>
            </w:pPr>
            <w:r>
              <w:t>45</w:t>
            </w:r>
          </w:p>
        </w:tc>
        <w:tc>
          <w:tcPr>
            <w:tcW w:w="2585" w:type="dxa"/>
          </w:tcPr>
          <w:p w14:paraId="0957043C" w14:textId="2C627745" w:rsidR="005E4AB9" w:rsidRDefault="005E4AB9" w:rsidP="005E4AB9">
            <w:pPr>
              <w:pStyle w:val="Brdtext"/>
            </w:pPr>
            <w:r>
              <w:t>100</w:t>
            </w:r>
            <w:r w:rsidR="00DA1654">
              <w:t xml:space="preserve"> </w:t>
            </w:r>
            <w:r>
              <w:t xml:space="preserve">% av </w:t>
            </w:r>
            <w:r>
              <w:sym w:font="Symbol" w:char="F044"/>
            </w:r>
            <w:r>
              <w:t>Pmax</w:t>
            </w:r>
          </w:p>
        </w:tc>
      </w:tr>
      <w:tr w:rsidR="005E4AB9" w14:paraId="29219295" w14:textId="77777777" w:rsidTr="005E4AB9">
        <w:tc>
          <w:tcPr>
            <w:tcW w:w="2165" w:type="dxa"/>
          </w:tcPr>
          <w:p w14:paraId="3C957CCC" w14:textId="77777777" w:rsidR="005E4AB9" w:rsidRDefault="005E4AB9" w:rsidP="005E4AB9">
            <w:pPr>
              <w:pStyle w:val="Brdtext"/>
            </w:pPr>
            <w:r>
              <w:t>12</w:t>
            </w:r>
          </w:p>
        </w:tc>
        <w:tc>
          <w:tcPr>
            <w:tcW w:w="2610" w:type="dxa"/>
          </w:tcPr>
          <w:p w14:paraId="4DE16AFC" w14:textId="77777777" w:rsidR="005E4AB9" w:rsidRDefault="005E4AB9" w:rsidP="005E4AB9">
            <w:pPr>
              <w:pStyle w:val="Brdtext"/>
            </w:pPr>
            <w:r>
              <w:t>51</w:t>
            </w:r>
          </w:p>
        </w:tc>
        <w:tc>
          <w:tcPr>
            <w:tcW w:w="2585" w:type="dxa"/>
          </w:tcPr>
          <w:p w14:paraId="5BD22D52" w14:textId="77777777" w:rsidR="005E4AB9" w:rsidRDefault="005E4AB9" w:rsidP="005E4AB9">
            <w:pPr>
              <w:pStyle w:val="Brdtext"/>
            </w:pPr>
            <w:r>
              <w:t>0</w:t>
            </w:r>
          </w:p>
        </w:tc>
      </w:tr>
    </w:tbl>
    <w:p w14:paraId="7B06A10E" w14:textId="77777777" w:rsidR="005E4AB9" w:rsidRDefault="005E4AB9" w:rsidP="00655BF4">
      <w:pPr>
        <w:pStyle w:val="Brdtext"/>
      </w:pPr>
    </w:p>
    <w:sectPr w:rsidR="005E4AB9" w:rsidSect="00102292">
      <w:footerReference w:type="even" r:id="rId19"/>
      <w:footerReference w:type="default" r:id="rId20"/>
      <w:footerReference w:type="first" r:id="rId21"/>
      <w:pgSz w:w="11906" w:h="16838" w:code="9"/>
      <w:pgMar w:top="1701"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01207" w14:textId="77777777" w:rsidR="005C62AB" w:rsidRDefault="005C62AB" w:rsidP="008248E4">
      <w:r>
        <w:separator/>
      </w:r>
    </w:p>
  </w:endnote>
  <w:endnote w:type="continuationSeparator" w:id="0">
    <w:p w14:paraId="75BC79DD" w14:textId="77777777" w:rsidR="005C62AB" w:rsidRDefault="005C62AB" w:rsidP="0082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ECD2" w14:textId="77777777" w:rsidR="005C62AB" w:rsidRDefault="005C62A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B4973" w14:textId="77777777" w:rsidR="005C62AB" w:rsidRDefault="005C62A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AFD23" w14:textId="77777777" w:rsidR="005C62AB" w:rsidRDefault="005C62A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31" w:type="dxa"/>
      <w:tblCellMar>
        <w:left w:w="0" w:type="dxa"/>
        <w:right w:w="0" w:type="dxa"/>
      </w:tblCellMar>
      <w:tblLook w:val="01E0" w:firstRow="1" w:lastRow="1" w:firstColumn="1" w:lastColumn="1" w:noHBand="0" w:noVBand="0"/>
    </w:tblPr>
    <w:tblGrid>
      <w:gridCol w:w="5166"/>
      <w:gridCol w:w="2169"/>
      <w:gridCol w:w="2996"/>
    </w:tblGrid>
    <w:tr w:rsidR="005C62AB" w:rsidRPr="00186D83" w14:paraId="04F78B3A" w14:textId="77777777" w:rsidTr="005E4AB9">
      <w:trPr>
        <w:trHeight w:hRule="exact" w:val="2019"/>
      </w:trPr>
      <w:tc>
        <w:tcPr>
          <w:tcW w:w="5166" w:type="dxa"/>
          <w:shd w:val="clear" w:color="auto" w:fill="auto"/>
          <w:vAlign w:val="bottom"/>
        </w:tcPr>
        <w:p w14:paraId="3028A9F7" w14:textId="32E74141" w:rsidR="005C62AB" w:rsidRPr="00186D83" w:rsidRDefault="005C62AB" w:rsidP="005E4AB9">
          <w:pPr>
            <w:pStyle w:val="Sidfot"/>
            <w:rPr>
              <w:szCs w:val="2"/>
            </w:rPr>
          </w:pPr>
          <w:r>
            <w:rPr>
              <w:rStyle w:val="Sidnummer"/>
              <w:rFonts w:eastAsiaTheme="majorEastAsia"/>
            </w:rPr>
            <w:fldChar w:fldCharType="begin"/>
          </w:r>
          <w:r>
            <w:rPr>
              <w:rStyle w:val="Sidnummer"/>
              <w:rFonts w:eastAsiaTheme="majorEastAsia"/>
            </w:rPr>
            <w:instrText xml:space="preserve"> PAGE  \* MERGEFORMAT </w:instrText>
          </w:r>
          <w:r>
            <w:rPr>
              <w:rStyle w:val="Sidnummer"/>
              <w:rFonts w:eastAsiaTheme="majorEastAsia"/>
            </w:rPr>
            <w:fldChar w:fldCharType="separate"/>
          </w:r>
          <w:r>
            <w:rPr>
              <w:rStyle w:val="Sidnummer"/>
              <w:rFonts w:eastAsiaTheme="majorEastAsia"/>
            </w:rPr>
            <w:t>14</w:t>
          </w:r>
          <w:r>
            <w:rPr>
              <w:rStyle w:val="Sidnummer"/>
              <w:rFonts w:eastAsiaTheme="majorEastAsia"/>
            </w:rPr>
            <w:fldChar w:fldCharType="end"/>
          </w:r>
          <w:r>
            <w:rPr>
              <w:rStyle w:val="Sidnummer"/>
              <w:rFonts w:eastAsiaTheme="majorEastAsia"/>
            </w:rPr>
            <w:t>/</w:t>
          </w:r>
          <w:r>
            <w:rPr>
              <w:rStyle w:val="Sidnummer"/>
              <w:rFonts w:eastAsiaTheme="majorEastAsia"/>
            </w:rPr>
            <w:fldChar w:fldCharType="begin"/>
          </w:r>
          <w:r>
            <w:rPr>
              <w:rStyle w:val="Sidnummer"/>
              <w:rFonts w:eastAsiaTheme="majorEastAsia"/>
            </w:rPr>
            <w:instrText xml:space="preserve"> NUMPAGES  \* MERGEFORMAT </w:instrText>
          </w:r>
          <w:r>
            <w:rPr>
              <w:rStyle w:val="Sidnummer"/>
              <w:rFonts w:eastAsiaTheme="majorEastAsia"/>
            </w:rPr>
            <w:fldChar w:fldCharType="separate"/>
          </w:r>
          <w:r>
            <w:rPr>
              <w:rStyle w:val="Sidnummer"/>
              <w:rFonts w:eastAsiaTheme="majorEastAsia"/>
              <w:noProof/>
            </w:rPr>
            <w:t>20</w:t>
          </w:r>
          <w:r>
            <w:rPr>
              <w:rStyle w:val="Sidnummer"/>
              <w:rFonts w:eastAsiaTheme="majorEastAsia"/>
            </w:rPr>
            <w:fldChar w:fldCharType="end"/>
          </w:r>
        </w:p>
      </w:tc>
      <w:tc>
        <w:tcPr>
          <w:tcW w:w="2169" w:type="dxa"/>
          <w:shd w:val="clear" w:color="auto" w:fill="auto"/>
          <w:vAlign w:val="bottom"/>
        </w:tcPr>
        <w:p w14:paraId="230D4006" w14:textId="77777777" w:rsidR="005C62AB" w:rsidRPr="0051385A" w:rsidRDefault="005C62AB" w:rsidP="005E4AB9">
          <w:pPr>
            <w:pStyle w:val="Sidfot"/>
            <w:jc w:val="right"/>
            <w:rPr>
              <w:rStyle w:val="Sidnummer"/>
              <w:rFonts w:eastAsiaTheme="majorEastAsia"/>
            </w:rPr>
          </w:pPr>
          <w:r w:rsidRPr="0051385A">
            <w:rPr>
              <w:rStyle w:val="Sidnummer"/>
              <w:rFonts w:eastAsiaTheme="majorEastAsia"/>
            </w:rPr>
            <w:t xml:space="preserve"> </w:t>
          </w:r>
        </w:p>
      </w:tc>
      <w:tc>
        <w:tcPr>
          <w:tcW w:w="2996" w:type="dxa"/>
          <w:shd w:val="clear" w:color="auto" w:fill="auto"/>
          <w:vAlign w:val="bottom"/>
        </w:tcPr>
        <w:p w14:paraId="4E5DF11C" w14:textId="77777777" w:rsidR="005C62AB" w:rsidRPr="00186D83" w:rsidRDefault="005C62AB" w:rsidP="005E4AB9">
          <w:pPr>
            <w:pStyle w:val="Sidfot"/>
            <w:jc w:val="center"/>
            <w:rPr>
              <w:szCs w:val="2"/>
            </w:rPr>
          </w:pPr>
          <w:r w:rsidRPr="00186D83">
            <w:rPr>
              <w:noProof/>
              <w:szCs w:val="2"/>
            </w:rPr>
            <w:drawing>
              <wp:inline distT="0" distB="0" distL="0" distR="0" wp14:anchorId="60A93CAA" wp14:editId="57894090">
                <wp:extent cx="762000" cy="628650"/>
                <wp:effectExtent l="0" t="0" r="0" b="0"/>
                <wp:docPr id="5" name="Bild 2" descr="logo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inline>
            </w:drawing>
          </w:r>
        </w:p>
      </w:tc>
    </w:tr>
  </w:tbl>
  <w:p w14:paraId="27A4F18F" w14:textId="77777777" w:rsidR="005C62AB" w:rsidRDefault="005C62AB" w:rsidP="005E4AB9">
    <w:pPr>
      <w:pStyle w:val="Sidfot"/>
    </w:pPr>
  </w:p>
  <w:p w14:paraId="7DD3CB58" w14:textId="77777777" w:rsidR="005C62AB" w:rsidRDefault="005C62AB">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DA340" w14:textId="35BFA99B" w:rsidR="005C62AB" w:rsidRPr="00C02C06" w:rsidRDefault="005C62AB" w:rsidP="005E4AB9">
    <w:pPr>
      <w:pStyle w:val="Sidfot"/>
      <w:jc w:val="center"/>
    </w:pPr>
    <w:r>
      <w:fldChar w:fldCharType="begin"/>
    </w:r>
    <w:r>
      <w:instrText>PAGE   \* MERGEFORMAT</w:instrText>
    </w:r>
    <w:r>
      <w:fldChar w:fldCharType="separate"/>
    </w:r>
    <w:r w:rsidR="003B076F">
      <w:rPr>
        <w:noProof/>
      </w:rPr>
      <w:t>21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9" w:type="dxa"/>
      <w:tblInd w:w="-3038" w:type="dxa"/>
      <w:tblCellMar>
        <w:left w:w="0" w:type="dxa"/>
        <w:right w:w="0" w:type="dxa"/>
      </w:tblCellMar>
      <w:tblLook w:val="01E0" w:firstRow="1" w:lastRow="1" w:firstColumn="1" w:lastColumn="1" w:noHBand="0" w:noVBand="0"/>
    </w:tblPr>
    <w:tblGrid>
      <w:gridCol w:w="3024"/>
      <w:gridCol w:w="5166"/>
      <w:gridCol w:w="2169"/>
    </w:tblGrid>
    <w:tr w:rsidR="005C62AB" w:rsidRPr="00186D83" w14:paraId="5EDC7C12" w14:textId="77777777" w:rsidTr="005E4AB9">
      <w:trPr>
        <w:trHeight w:hRule="exact" w:val="2019"/>
      </w:trPr>
      <w:tc>
        <w:tcPr>
          <w:tcW w:w="3024" w:type="dxa"/>
          <w:shd w:val="clear" w:color="auto" w:fill="auto"/>
          <w:tcMar>
            <w:right w:w="0" w:type="dxa"/>
          </w:tcMar>
          <w:vAlign w:val="bottom"/>
        </w:tcPr>
        <w:p w14:paraId="3FF84D45" w14:textId="77777777" w:rsidR="005C62AB" w:rsidRPr="00186D83" w:rsidRDefault="005C62AB" w:rsidP="005E4AB9">
          <w:pPr>
            <w:pStyle w:val="Sidfot"/>
            <w:jc w:val="center"/>
            <w:rPr>
              <w:szCs w:val="2"/>
            </w:rPr>
          </w:pPr>
          <w:r w:rsidRPr="00186D83">
            <w:rPr>
              <w:noProof/>
              <w:szCs w:val="2"/>
            </w:rPr>
            <w:drawing>
              <wp:inline distT="0" distB="0" distL="0" distR="0" wp14:anchorId="477EC95A" wp14:editId="65FF50E4">
                <wp:extent cx="762000" cy="628650"/>
                <wp:effectExtent l="0" t="0" r="0" b="0"/>
                <wp:docPr id="6" name="Bild 3" descr="logo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inline>
            </w:drawing>
          </w:r>
        </w:p>
      </w:tc>
      <w:tc>
        <w:tcPr>
          <w:tcW w:w="5166" w:type="dxa"/>
          <w:shd w:val="clear" w:color="auto" w:fill="auto"/>
          <w:vAlign w:val="bottom"/>
        </w:tcPr>
        <w:p w14:paraId="33B91D8B" w14:textId="77777777" w:rsidR="005C62AB" w:rsidRPr="00186D83" w:rsidRDefault="005C62AB" w:rsidP="005E4AB9">
          <w:pPr>
            <w:pStyle w:val="Sidfot"/>
            <w:rPr>
              <w:szCs w:val="2"/>
            </w:rPr>
          </w:pPr>
        </w:p>
      </w:tc>
      <w:tc>
        <w:tcPr>
          <w:tcW w:w="2169" w:type="dxa"/>
          <w:shd w:val="clear" w:color="auto" w:fill="auto"/>
          <w:vAlign w:val="bottom"/>
        </w:tcPr>
        <w:p w14:paraId="5FAF304A" w14:textId="7C4F4EB3" w:rsidR="005C62AB" w:rsidRPr="0051385A" w:rsidRDefault="005C62AB" w:rsidP="005E4AB9">
          <w:pPr>
            <w:pStyle w:val="Sidfot"/>
            <w:jc w:val="right"/>
            <w:rPr>
              <w:rStyle w:val="Sidnummer"/>
              <w:rFonts w:eastAsiaTheme="majorEastAsia"/>
            </w:rPr>
          </w:pPr>
          <w:r>
            <w:rPr>
              <w:rStyle w:val="Sidnummer"/>
              <w:rFonts w:eastAsiaTheme="majorEastAsia"/>
            </w:rPr>
            <w:fldChar w:fldCharType="begin"/>
          </w:r>
          <w:r>
            <w:rPr>
              <w:rStyle w:val="Sidnummer"/>
              <w:rFonts w:eastAsiaTheme="majorEastAsia"/>
            </w:rPr>
            <w:instrText xml:space="preserve"> PAGE  \* MERGEFORMAT </w:instrText>
          </w:r>
          <w:r>
            <w:rPr>
              <w:rStyle w:val="Sidnummer"/>
              <w:rFonts w:eastAsiaTheme="majorEastAsia"/>
            </w:rPr>
            <w:fldChar w:fldCharType="separate"/>
          </w:r>
          <w:r>
            <w:rPr>
              <w:rStyle w:val="Sidnummer"/>
              <w:rFonts w:eastAsiaTheme="majorEastAsia"/>
            </w:rPr>
            <w:t>5</w:t>
          </w:r>
          <w:r>
            <w:rPr>
              <w:rStyle w:val="Sidnummer"/>
              <w:rFonts w:eastAsiaTheme="majorEastAsia"/>
            </w:rPr>
            <w:fldChar w:fldCharType="end"/>
          </w:r>
          <w:r>
            <w:rPr>
              <w:rStyle w:val="Sidnummer"/>
              <w:rFonts w:eastAsiaTheme="majorEastAsia"/>
            </w:rPr>
            <w:t>/</w:t>
          </w:r>
          <w:r>
            <w:rPr>
              <w:rStyle w:val="Sidnummer"/>
              <w:rFonts w:eastAsiaTheme="majorEastAsia"/>
            </w:rPr>
            <w:fldChar w:fldCharType="begin"/>
          </w:r>
          <w:r>
            <w:rPr>
              <w:rStyle w:val="Sidnummer"/>
              <w:rFonts w:eastAsiaTheme="majorEastAsia"/>
            </w:rPr>
            <w:instrText xml:space="preserve"> NUMPAGES  \* MERGEFORMAT </w:instrText>
          </w:r>
          <w:r>
            <w:rPr>
              <w:rStyle w:val="Sidnummer"/>
              <w:rFonts w:eastAsiaTheme="majorEastAsia"/>
            </w:rPr>
            <w:fldChar w:fldCharType="separate"/>
          </w:r>
          <w:r>
            <w:rPr>
              <w:rStyle w:val="Sidnummer"/>
              <w:rFonts w:eastAsiaTheme="majorEastAsia"/>
              <w:noProof/>
            </w:rPr>
            <w:t>20</w:t>
          </w:r>
          <w:r>
            <w:rPr>
              <w:rStyle w:val="Sidnummer"/>
              <w:rFonts w:eastAsiaTheme="majorEastAsia"/>
            </w:rPr>
            <w:fldChar w:fldCharType="end"/>
          </w:r>
          <w:r w:rsidRPr="0051385A">
            <w:rPr>
              <w:rStyle w:val="Sidnummer"/>
              <w:rFonts w:eastAsiaTheme="majorEastAsia"/>
            </w:rPr>
            <w:t xml:space="preserve"> </w:t>
          </w:r>
        </w:p>
      </w:tc>
    </w:tr>
  </w:tbl>
  <w:p w14:paraId="4B909BAD" w14:textId="77777777" w:rsidR="005C62AB" w:rsidRDefault="005C62AB" w:rsidP="005E4A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3561F" w14:textId="77777777" w:rsidR="005C62AB" w:rsidRDefault="005C62AB" w:rsidP="008248E4">
      <w:r>
        <w:separator/>
      </w:r>
    </w:p>
  </w:footnote>
  <w:footnote w:type="continuationSeparator" w:id="0">
    <w:p w14:paraId="23018E9F" w14:textId="77777777" w:rsidR="005C62AB" w:rsidRDefault="005C62AB" w:rsidP="008248E4">
      <w:r>
        <w:continuationSeparator/>
      </w:r>
    </w:p>
  </w:footnote>
  <w:footnote w:id="1">
    <w:p w14:paraId="1248440C" w14:textId="77777777" w:rsidR="005C62AB" w:rsidRDefault="005C62AB" w:rsidP="007B101A">
      <w:pPr>
        <w:pStyle w:val="Fotnotstext"/>
      </w:pPr>
      <w:r>
        <w:rPr>
          <w:rStyle w:val="Fotnotsreferens"/>
        </w:rPr>
        <w:footnoteRef/>
      </w:r>
      <w:r>
        <w:t xml:space="preserve"> Engelsk förkortning för Full Activaton Time</w:t>
      </w:r>
    </w:p>
  </w:footnote>
  <w:footnote w:id="2">
    <w:p w14:paraId="26837C9D" w14:textId="4384B026" w:rsidR="005C62AB" w:rsidRDefault="005C62AB">
      <w:pPr>
        <w:pStyle w:val="Fotnotstext"/>
      </w:pPr>
      <w:r>
        <w:rPr>
          <w:rStyle w:val="Fotnotsreferens"/>
        </w:rPr>
        <w:footnoteRef/>
      </w:r>
      <w:r>
        <w:t xml:space="preserve"> Minimikrav för samplingstid redogörs för i </w:t>
      </w:r>
      <w:r>
        <w:fldChar w:fldCharType="begin"/>
      </w:r>
      <w:r>
        <w:instrText xml:space="preserve"> REF _Ref70665992 \h </w:instrText>
      </w:r>
      <w:r>
        <w:fldChar w:fldCharType="separate"/>
      </w:r>
      <w:r>
        <w:t xml:space="preserve">Tabell </w:t>
      </w:r>
      <w:r>
        <w:rPr>
          <w:noProof/>
        </w:rPr>
        <w:t>2</w:t>
      </w:r>
      <w:r>
        <w:fldChar w:fldCharType="end"/>
      </w:r>
      <w:r>
        <w:t>.</w:t>
      </w:r>
    </w:p>
  </w:footnote>
  <w:footnote w:id="3">
    <w:p w14:paraId="458595A7" w14:textId="63E8A182" w:rsidR="005C62AB" w:rsidRDefault="005C62AB" w:rsidP="00664542">
      <w:pPr>
        <w:pStyle w:val="Fotnotstext"/>
      </w:pPr>
      <w:r>
        <w:rPr>
          <w:rStyle w:val="Fotnotsreferens"/>
        </w:rPr>
        <w:footnoteRef/>
      </w:r>
      <w:r>
        <w:t xml:space="preserve"> Avser rekommenderad samplingstid för data som sparas under test. Långsammare samplingstider kan godkännas men får inte överstiga maximal samplingstid under normal drift (10 sekunder).</w:t>
      </w:r>
    </w:p>
  </w:footnote>
  <w:footnote w:id="4">
    <w:p w14:paraId="30CAFFB6" w14:textId="405CCF24" w:rsidR="005C62AB" w:rsidRDefault="005C62AB" w:rsidP="00A74E82">
      <w:pPr>
        <w:pStyle w:val="Fotnotstext"/>
      </w:pPr>
      <w:r>
        <w:rPr>
          <w:rStyle w:val="Fotnotsreferens"/>
        </w:rPr>
        <w:footnoteRef/>
      </w:r>
      <w:r>
        <w:t xml:space="preserve"> Signal från leverantör till TSO som i realtid anger om aFRR-reglering är tillåten.</w:t>
      </w:r>
    </w:p>
  </w:footnote>
  <w:footnote w:id="5">
    <w:p w14:paraId="3B22718D" w14:textId="77777777" w:rsidR="005C62AB" w:rsidRDefault="005C62AB" w:rsidP="00875271">
      <w:pPr>
        <w:pStyle w:val="Fotnotstext"/>
      </w:pPr>
      <w:r>
        <w:rPr>
          <w:rStyle w:val="Fotnotsreferens"/>
        </w:rPr>
        <w:footnoteRef/>
      </w:r>
      <w:r>
        <w:t xml:space="preserve"> Avser rekommenderad samplingstid för data som sparas under test. Långsammare samplingstider kan godkännas men får inte överstiga maximal samplingstid under normal drift (10 sekunder).</w:t>
      </w:r>
    </w:p>
  </w:footnote>
  <w:footnote w:id="6">
    <w:p w14:paraId="27F676FB" w14:textId="1E73E32A" w:rsidR="005C62AB" w:rsidRDefault="005C62AB">
      <w:pPr>
        <w:pStyle w:val="Fotnotstext"/>
      </w:pPr>
      <w:r>
        <w:rPr>
          <w:rStyle w:val="Fotnotsreferens"/>
        </w:rPr>
        <w:footnoteRef/>
      </w:r>
      <w:r>
        <w:t xml:space="preserve"> Om ansökan avser maxkapacitet aFRR &lt; 3 MW anpassas signaltestet därefter. </w:t>
      </w:r>
    </w:p>
  </w:footnote>
  <w:footnote w:id="7">
    <w:p w14:paraId="2A853A25" w14:textId="77777777" w:rsidR="005C62AB" w:rsidRDefault="005C62AB" w:rsidP="004674A7">
      <w:pPr>
        <w:pStyle w:val="Fotnotstext"/>
      </w:pPr>
      <w:r>
        <w:rPr>
          <w:rStyle w:val="Fotnotsreferens"/>
        </w:rPr>
        <w:footnoteRef/>
      </w:r>
      <w:r>
        <w:t xml:space="preserve"> Om ansökan endast avser leverans av aFRR för nedreglering behöver det här steget ej genomföras.</w:t>
      </w:r>
    </w:p>
  </w:footnote>
  <w:footnote w:id="8">
    <w:p w14:paraId="54146AB1" w14:textId="77777777" w:rsidR="005C62AB" w:rsidRDefault="005C62AB" w:rsidP="004674A7">
      <w:pPr>
        <w:pStyle w:val="Fotnotstext"/>
      </w:pPr>
      <w:r>
        <w:rPr>
          <w:rStyle w:val="Fotnotsreferens"/>
        </w:rPr>
        <w:footnoteRef/>
      </w:r>
      <w:r>
        <w:t xml:space="preserve"> Om ansökan endast avser leverans av aFRR för uppreglering behöver det här steget ej genomföras.</w:t>
      </w:r>
    </w:p>
  </w:footnote>
  <w:footnote w:id="9">
    <w:p w14:paraId="6D019D73" w14:textId="373737FA" w:rsidR="005C62AB" w:rsidRDefault="005C62AB">
      <w:pPr>
        <w:pStyle w:val="Fotnotstext"/>
      </w:pPr>
      <w:r>
        <w:rPr>
          <w:rStyle w:val="Fotnotsreferens"/>
        </w:rPr>
        <w:footnoteRef/>
      </w:r>
      <w:r>
        <w:t xml:space="preserve"> Om ansökan avser maxkapacitet aFRR &lt; 3 MW anpassas signaltestet därefter.</w:t>
      </w:r>
    </w:p>
  </w:footnote>
  <w:footnote w:id="10">
    <w:p w14:paraId="0D3552F8" w14:textId="17BB8FD0" w:rsidR="005C62AB" w:rsidRDefault="005C62AB">
      <w:pPr>
        <w:pStyle w:val="Fotnotstext"/>
      </w:pPr>
      <w:r>
        <w:rPr>
          <w:rStyle w:val="Fotnotsreferens"/>
        </w:rPr>
        <w:footnoteRef/>
      </w:r>
      <w:r>
        <w:t xml:space="preserve"> </w:t>
      </w:r>
      <w:r w:rsidRPr="009939A8">
        <w:t xml:space="preserve">X </w:t>
      </w:r>
      <w:r>
        <w:t>motsvarar</w:t>
      </w:r>
      <w:r w:rsidRPr="009939A8">
        <w:t xml:space="preserve"> ett steg på</w:t>
      </w:r>
      <w:r>
        <w:t xml:space="preserve"> cirka</w:t>
      </w:r>
      <w:r w:rsidRPr="009939A8">
        <w:t xml:space="preserve"> 1-10 MW</w:t>
      </w:r>
      <w:r>
        <w:t xml:space="preserve"> </w:t>
      </w:r>
      <w:r w:rsidRPr="009939A8">
        <w:t>och bestäms tillsammans med aktören inför testet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F4422" w14:textId="77777777" w:rsidR="005C62AB" w:rsidRDefault="005C62A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E7677" w14:textId="0D01B52C" w:rsidR="005C62AB" w:rsidRPr="001F7DFD" w:rsidRDefault="005C62AB">
    <w:pPr>
      <w:pStyle w:val="Sidhuvud"/>
      <w:rPr>
        <w:lang w:val="en-US"/>
      </w:rPr>
    </w:pPr>
    <w:r>
      <w:t xml:space="preserve">Testprogram för </w:t>
    </w:r>
    <w:r>
      <w:rPr>
        <w:lang w:val="en-US"/>
      </w:rPr>
      <w:t>aFRR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6D0C2" w14:textId="39B997F1" w:rsidR="005C62AB" w:rsidRDefault="005C62AB">
    <w:pPr>
      <w:pStyle w:val="Sidhuvud"/>
    </w:pPr>
    <w:r w:rsidRPr="00EA45BB">
      <w:rPr>
        <w:noProof/>
      </w:rPr>
      <w:drawing>
        <wp:anchor distT="0" distB="0" distL="114300" distR="114300" simplePos="0" relativeHeight="251659264" behindDoc="0" locked="0" layoutInCell="1" allowOverlap="1" wp14:anchorId="407B1848" wp14:editId="4D5F6B6E">
          <wp:simplePos x="0" y="0"/>
          <wp:positionH relativeFrom="column">
            <wp:posOffset>-635</wp:posOffset>
          </wp:positionH>
          <wp:positionV relativeFrom="paragraph">
            <wp:posOffset>174321</wp:posOffset>
          </wp:positionV>
          <wp:extent cx="2162175" cy="628650"/>
          <wp:effectExtent l="0" t="0" r="9525" b="0"/>
          <wp:wrapNone/>
          <wp:docPr id="1" name="Bild 1" descr="logoS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Sv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628650"/>
                  </a:xfrm>
                  <a:prstGeom prst="rect">
                    <a:avLst/>
                  </a:prstGeom>
                  <a:noFill/>
                  <a:ln>
                    <a:noFill/>
                  </a:ln>
                </pic:spPr>
              </pic:pic>
            </a:graphicData>
          </a:graphic>
        </wp:anchor>
      </w:drawing>
    </w:r>
    <w:r>
      <w:tab/>
    </w:r>
    <w:r>
      <w:tab/>
    </w:r>
    <w:r>
      <w:tab/>
    </w:r>
    <w:r>
      <w:tab/>
      <w:t xml:space="preserve">             2020/</w:t>
    </w:r>
    <w:r w:rsidRPr="002607A6">
      <w:t>1039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B909722"/>
    <w:lvl w:ilvl="0">
      <w:start w:val="1"/>
      <w:numFmt w:val="decimal"/>
      <w:pStyle w:val="Numreradlista4"/>
      <w:lvlText w:val="%1."/>
      <w:lvlJc w:val="left"/>
      <w:pPr>
        <w:tabs>
          <w:tab w:val="num" w:pos="1209"/>
        </w:tabs>
        <w:ind w:left="1209" w:hanging="360"/>
      </w:pPr>
    </w:lvl>
  </w:abstractNum>
  <w:abstractNum w:abstractNumId="1" w15:restartNumberingAfterBreak="0">
    <w:nsid w:val="FFFFFF80"/>
    <w:multiLevelType w:val="singleLevel"/>
    <w:tmpl w:val="35A6969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6A24801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32C07338"/>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682121"/>
    <w:multiLevelType w:val="multilevel"/>
    <w:tmpl w:val="5030B844"/>
    <w:lvl w:ilvl="0">
      <w:start w:val="4"/>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04CA62B1"/>
    <w:multiLevelType w:val="hybridMultilevel"/>
    <w:tmpl w:val="FA30A2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ABC7537"/>
    <w:multiLevelType w:val="multilevel"/>
    <w:tmpl w:val="F746C83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0" w:firstLine="0"/>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0F5B59E5"/>
    <w:multiLevelType w:val="hybridMultilevel"/>
    <w:tmpl w:val="08D8BF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1D130C2"/>
    <w:multiLevelType w:val="hybridMultilevel"/>
    <w:tmpl w:val="A1585A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4930733"/>
    <w:multiLevelType w:val="hybridMultilevel"/>
    <w:tmpl w:val="8340D7D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5E53764"/>
    <w:multiLevelType w:val="hybridMultilevel"/>
    <w:tmpl w:val="DE04F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869285C"/>
    <w:multiLevelType w:val="hybridMultilevel"/>
    <w:tmpl w:val="F2344A64"/>
    <w:lvl w:ilvl="0" w:tplc="C87CE7C4">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D9F24F7"/>
    <w:multiLevelType w:val="hybridMultilevel"/>
    <w:tmpl w:val="333019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EB9659A"/>
    <w:multiLevelType w:val="hybridMultilevel"/>
    <w:tmpl w:val="072EDE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FD2781E"/>
    <w:multiLevelType w:val="hybridMultilevel"/>
    <w:tmpl w:val="DDC0A9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D027312"/>
    <w:multiLevelType w:val="multilevel"/>
    <w:tmpl w:val="266C6248"/>
    <w:lvl w:ilvl="0">
      <w:start w:val="1"/>
      <w:numFmt w:val="decimal"/>
      <w:pStyle w:val="Numreradlista"/>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7" w15:restartNumberingAfterBreak="0">
    <w:nsid w:val="35F10C1C"/>
    <w:multiLevelType w:val="hybridMultilevel"/>
    <w:tmpl w:val="771E2514"/>
    <w:lvl w:ilvl="0" w:tplc="041D000F">
      <w:start w:val="1"/>
      <w:numFmt w:val="decimal"/>
      <w:lvlText w:val="%1."/>
      <w:lvlJc w:val="left"/>
      <w:pPr>
        <w:ind w:left="3240" w:hanging="360"/>
      </w:pPr>
    </w:lvl>
    <w:lvl w:ilvl="1" w:tplc="041D0019" w:tentative="1">
      <w:start w:val="1"/>
      <w:numFmt w:val="lowerLetter"/>
      <w:lvlText w:val="%2."/>
      <w:lvlJc w:val="left"/>
      <w:pPr>
        <w:ind w:left="3960" w:hanging="360"/>
      </w:pPr>
    </w:lvl>
    <w:lvl w:ilvl="2" w:tplc="041D001B" w:tentative="1">
      <w:start w:val="1"/>
      <w:numFmt w:val="lowerRoman"/>
      <w:lvlText w:val="%3."/>
      <w:lvlJc w:val="right"/>
      <w:pPr>
        <w:ind w:left="4680" w:hanging="180"/>
      </w:pPr>
    </w:lvl>
    <w:lvl w:ilvl="3" w:tplc="041D000F" w:tentative="1">
      <w:start w:val="1"/>
      <w:numFmt w:val="decimal"/>
      <w:lvlText w:val="%4."/>
      <w:lvlJc w:val="left"/>
      <w:pPr>
        <w:ind w:left="5400" w:hanging="360"/>
      </w:pPr>
    </w:lvl>
    <w:lvl w:ilvl="4" w:tplc="041D0019" w:tentative="1">
      <w:start w:val="1"/>
      <w:numFmt w:val="lowerLetter"/>
      <w:lvlText w:val="%5."/>
      <w:lvlJc w:val="left"/>
      <w:pPr>
        <w:ind w:left="6120" w:hanging="360"/>
      </w:pPr>
    </w:lvl>
    <w:lvl w:ilvl="5" w:tplc="041D001B" w:tentative="1">
      <w:start w:val="1"/>
      <w:numFmt w:val="lowerRoman"/>
      <w:lvlText w:val="%6."/>
      <w:lvlJc w:val="right"/>
      <w:pPr>
        <w:ind w:left="6840" w:hanging="180"/>
      </w:pPr>
    </w:lvl>
    <w:lvl w:ilvl="6" w:tplc="041D000F" w:tentative="1">
      <w:start w:val="1"/>
      <w:numFmt w:val="decimal"/>
      <w:lvlText w:val="%7."/>
      <w:lvlJc w:val="left"/>
      <w:pPr>
        <w:ind w:left="7560" w:hanging="360"/>
      </w:pPr>
    </w:lvl>
    <w:lvl w:ilvl="7" w:tplc="041D0019" w:tentative="1">
      <w:start w:val="1"/>
      <w:numFmt w:val="lowerLetter"/>
      <w:lvlText w:val="%8."/>
      <w:lvlJc w:val="left"/>
      <w:pPr>
        <w:ind w:left="8280" w:hanging="360"/>
      </w:pPr>
    </w:lvl>
    <w:lvl w:ilvl="8" w:tplc="041D001B" w:tentative="1">
      <w:start w:val="1"/>
      <w:numFmt w:val="lowerRoman"/>
      <w:lvlText w:val="%9."/>
      <w:lvlJc w:val="right"/>
      <w:pPr>
        <w:ind w:left="9000" w:hanging="180"/>
      </w:pPr>
    </w:lvl>
  </w:abstractNum>
  <w:abstractNum w:abstractNumId="18" w15:restartNumberingAfterBreak="0">
    <w:nsid w:val="363A7EAA"/>
    <w:multiLevelType w:val="hybridMultilevel"/>
    <w:tmpl w:val="2130B5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20"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21" w15:restartNumberingAfterBreak="0">
    <w:nsid w:val="4B1C2708"/>
    <w:multiLevelType w:val="multilevel"/>
    <w:tmpl w:val="37F07770"/>
    <w:lvl w:ilvl="0">
      <w:start w:val="1"/>
      <w:numFmt w:val="decimal"/>
      <w:lvlText w:val="%1"/>
      <w:lvlJc w:val="left"/>
      <w:pPr>
        <w:tabs>
          <w:tab w:val="num" w:pos="1817"/>
        </w:tabs>
        <w:ind w:left="1817" w:hanging="737"/>
      </w:pPr>
      <w:rPr>
        <w:rFonts w:hint="default"/>
      </w:rPr>
    </w:lvl>
    <w:lvl w:ilvl="1">
      <w:start w:val="1"/>
      <w:numFmt w:val="decimal"/>
      <w:lvlText w:val="%2."/>
      <w:lvlJc w:val="left"/>
      <w:pPr>
        <w:tabs>
          <w:tab w:val="num" w:pos="6637"/>
        </w:tabs>
        <w:ind w:left="6637" w:hanging="737"/>
      </w:pPr>
      <w:rPr>
        <w:rFonts w:hint="default"/>
      </w:rPr>
    </w:lvl>
    <w:lvl w:ilvl="2">
      <w:start w:val="1"/>
      <w:numFmt w:val="decimal"/>
      <w:lvlText w:val="%1.%2.%3"/>
      <w:lvlJc w:val="left"/>
      <w:pPr>
        <w:tabs>
          <w:tab w:val="num" w:pos="1817"/>
        </w:tabs>
        <w:ind w:left="1817" w:hanging="737"/>
      </w:pPr>
      <w:rPr>
        <w:rFonts w:hint="default"/>
      </w:rPr>
    </w:lvl>
    <w:lvl w:ilvl="3">
      <w:start w:val="1"/>
      <w:numFmt w:val="decimal"/>
      <w:lvlText w:val="%1.%2.%3.%4."/>
      <w:lvlJc w:val="left"/>
      <w:pPr>
        <w:tabs>
          <w:tab w:val="num" w:pos="324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4320"/>
        </w:tabs>
        <w:ind w:left="3816" w:hanging="936"/>
      </w:pPr>
      <w:rPr>
        <w:rFonts w:hint="default"/>
      </w:rPr>
    </w:lvl>
    <w:lvl w:ilvl="6">
      <w:start w:val="1"/>
      <w:numFmt w:val="decimal"/>
      <w:lvlText w:val="%1.%2.%3.%4.%5.%6.%7."/>
      <w:lvlJc w:val="left"/>
      <w:pPr>
        <w:tabs>
          <w:tab w:val="num" w:pos="5040"/>
        </w:tabs>
        <w:ind w:left="4320" w:hanging="1080"/>
      </w:pPr>
      <w:rPr>
        <w:rFonts w:hint="default"/>
      </w:rPr>
    </w:lvl>
    <w:lvl w:ilvl="7">
      <w:start w:val="1"/>
      <w:numFmt w:val="decimal"/>
      <w:lvlText w:val="%1.%2.%3.%4.%5.%6.%7.%8."/>
      <w:lvlJc w:val="left"/>
      <w:pPr>
        <w:tabs>
          <w:tab w:val="num" w:pos="5400"/>
        </w:tabs>
        <w:ind w:left="4824" w:hanging="1224"/>
      </w:pPr>
      <w:rPr>
        <w:rFonts w:hint="default"/>
      </w:rPr>
    </w:lvl>
    <w:lvl w:ilvl="8">
      <w:start w:val="1"/>
      <w:numFmt w:val="decimal"/>
      <w:lvlText w:val="%1.%2.%3.%4.%5.%6.%7.%8.%9."/>
      <w:lvlJc w:val="left"/>
      <w:pPr>
        <w:tabs>
          <w:tab w:val="num" w:pos="6120"/>
        </w:tabs>
        <w:ind w:left="5400" w:hanging="1440"/>
      </w:pPr>
      <w:rPr>
        <w:rFonts w:hint="default"/>
      </w:rPr>
    </w:lvl>
  </w:abstractNum>
  <w:abstractNum w:abstractNumId="22" w15:restartNumberingAfterBreak="0">
    <w:nsid w:val="4B316C01"/>
    <w:multiLevelType w:val="hybridMultilevel"/>
    <w:tmpl w:val="14D480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E666224"/>
    <w:multiLevelType w:val="multilevel"/>
    <w:tmpl w:val="8D4AEE8E"/>
    <w:lvl w:ilvl="0">
      <w:start w:val="1"/>
      <w:numFmt w:val="bullet"/>
      <w:pStyle w:val="Punktlista"/>
      <w:lvlText w:val="&gt;"/>
      <w:lvlJc w:val="left"/>
      <w:pPr>
        <w:tabs>
          <w:tab w:val="num" w:pos="360"/>
        </w:tabs>
        <w:ind w:left="360" w:hanging="360"/>
      </w:pPr>
      <w:rPr>
        <w:rFonts w:ascii="Times New Roman" w:hAnsi="Times New Roman" w:cs="Times New Roman" w:hint="default"/>
        <w:sz w:val="14"/>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Times New Roman" w:hAnsi="Times New Roman" w:cs="Times New Roman" w:hint="default"/>
        <w:sz w:val="18"/>
        <w:vertAlign w:val="subscrip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14464BB"/>
    <w:multiLevelType w:val="hybridMultilevel"/>
    <w:tmpl w:val="2D78B7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CA73E56"/>
    <w:multiLevelType w:val="hybridMultilevel"/>
    <w:tmpl w:val="CFDCC354"/>
    <w:lvl w:ilvl="0" w:tplc="0E0A1200">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CCD6EAB"/>
    <w:multiLevelType w:val="hybridMultilevel"/>
    <w:tmpl w:val="8DDCC0E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5D4B56E0"/>
    <w:multiLevelType w:val="multilevel"/>
    <w:tmpl w:val="91504D6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28" w15:restartNumberingAfterBreak="0">
    <w:nsid w:val="5ED71C5D"/>
    <w:multiLevelType w:val="hybridMultilevel"/>
    <w:tmpl w:val="98708D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F02273A"/>
    <w:multiLevelType w:val="hybridMultilevel"/>
    <w:tmpl w:val="416093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97D4141"/>
    <w:multiLevelType w:val="hybridMultilevel"/>
    <w:tmpl w:val="270653A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1"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32" w15:restartNumberingAfterBreak="0">
    <w:nsid w:val="6FCD5E8B"/>
    <w:multiLevelType w:val="hybridMultilevel"/>
    <w:tmpl w:val="101EC48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45F3F3B"/>
    <w:multiLevelType w:val="hybridMultilevel"/>
    <w:tmpl w:val="DF64A9C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7C50ACC"/>
    <w:multiLevelType w:val="hybridMultilevel"/>
    <w:tmpl w:val="D8888AC6"/>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num w:numId="1">
    <w:abstractNumId w:val="4"/>
  </w:num>
  <w:num w:numId="2">
    <w:abstractNumId w:val="20"/>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
  </w:num>
  <w:num w:numId="9">
    <w:abstractNumId w:val="3"/>
  </w:num>
  <w:num w:numId="10">
    <w:abstractNumId w:val="23"/>
  </w:num>
  <w:num w:numId="11">
    <w:abstractNumId w:val="16"/>
  </w:num>
  <w:num w:numId="12">
    <w:abstractNumId w:val="16"/>
  </w:num>
  <w:num w:numId="13">
    <w:abstractNumId w:val="2"/>
  </w:num>
  <w:num w:numId="14">
    <w:abstractNumId w:val="0"/>
  </w:num>
  <w:num w:numId="15">
    <w:abstractNumId w:val="7"/>
  </w:num>
  <w:num w:numId="16">
    <w:abstractNumId w:val="32"/>
  </w:num>
  <w:num w:numId="17">
    <w:abstractNumId w:val="10"/>
  </w:num>
  <w:num w:numId="18">
    <w:abstractNumId w:val="22"/>
  </w:num>
  <w:num w:numId="19">
    <w:abstractNumId w:val="30"/>
  </w:num>
  <w:num w:numId="20">
    <w:abstractNumId w:val="17"/>
  </w:num>
  <w:num w:numId="21">
    <w:abstractNumId w:val="26"/>
  </w:num>
  <w:num w:numId="22">
    <w:abstractNumId w:val="21"/>
  </w:num>
  <w:num w:numId="23">
    <w:abstractNumId w:val="33"/>
  </w:num>
  <w:num w:numId="24">
    <w:abstractNumId w:val="34"/>
  </w:num>
  <w:num w:numId="25">
    <w:abstractNumId w:val="15"/>
  </w:num>
  <w:num w:numId="26">
    <w:abstractNumId w:val="14"/>
  </w:num>
  <w:num w:numId="27">
    <w:abstractNumId w:val="28"/>
  </w:num>
  <w:num w:numId="28">
    <w:abstractNumId w:val="8"/>
  </w:num>
  <w:num w:numId="29">
    <w:abstractNumId w:val="18"/>
  </w:num>
  <w:num w:numId="30">
    <w:abstractNumId w:val="9"/>
  </w:num>
  <w:num w:numId="31">
    <w:abstractNumId w:val="29"/>
  </w:num>
  <w:num w:numId="32">
    <w:abstractNumId w:val="23"/>
  </w:num>
  <w:num w:numId="33">
    <w:abstractNumId w:val="13"/>
  </w:num>
  <w:num w:numId="34">
    <w:abstractNumId w:val="12"/>
  </w:num>
  <w:num w:numId="35">
    <w:abstractNumId w:val="25"/>
  </w:num>
  <w:num w:numId="36">
    <w:abstractNumId w:val="11"/>
  </w:num>
  <w:num w:numId="37">
    <w:abstractNumId w:val="6"/>
  </w:num>
  <w:num w:numId="38">
    <w:abstractNumId w:val="24"/>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304"/>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92"/>
    <w:rsid w:val="00007FA5"/>
    <w:rsid w:val="0001296B"/>
    <w:rsid w:val="00014C3A"/>
    <w:rsid w:val="0001554E"/>
    <w:rsid w:val="00020B55"/>
    <w:rsid w:val="00024F03"/>
    <w:rsid w:val="00026EBD"/>
    <w:rsid w:val="00030EA9"/>
    <w:rsid w:val="00037D70"/>
    <w:rsid w:val="00043465"/>
    <w:rsid w:val="00045CF2"/>
    <w:rsid w:val="00047400"/>
    <w:rsid w:val="00047DAC"/>
    <w:rsid w:val="00050920"/>
    <w:rsid w:val="00055E4C"/>
    <w:rsid w:val="0006022A"/>
    <w:rsid w:val="00060766"/>
    <w:rsid w:val="00074ECF"/>
    <w:rsid w:val="00075AEF"/>
    <w:rsid w:val="0007780E"/>
    <w:rsid w:val="00083051"/>
    <w:rsid w:val="00085673"/>
    <w:rsid w:val="00095F42"/>
    <w:rsid w:val="00096EC6"/>
    <w:rsid w:val="000974AA"/>
    <w:rsid w:val="000A0EBE"/>
    <w:rsid w:val="000A51F5"/>
    <w:rsid w:val="000B4B40"/>
    <w:rsid w:val="000B4BC9"/>
    <w:rsid w:val="000C69D0"/>
    <w:rsid w:val="000D6BB5"/>
    <w:rsid w:val="000D7111"/>
    <w:rsid w:val="000E3532"/>
    <w:rsid w:val="000E4AF4"/>
    <w:rsid w:val="000E55DB"/>
    <w:rsid w:val="000F055E"/>
    <w:rsid w:val="00102292"/>
    <w:rsid w:val="00105105"/>
    <w:rsid w:val="00111269"/>
    <w:rsid w:val="0011332C"/>
    <w:rsid w:val="0012397B"/>
    <w:rsid w:val="00130D95"/>
    <w:rsid w:val="00134AB8"/>
    <w:rsid w:val="00140CF9"/>
    <w:rsid w:val="00142A1D"/>
    <w:rsid w:val="00142B47"/>
    <w:rsid w:val="00144F43"/>
    <w:rsid w:val="00160A52"/>
    <w:rsid w:val="00161E96"/>
    <w:rsid w:val="0016704A"/>
    <w:rsid w:val="00172390"/>
    <w:rsid w:val="00183D1D"/>
    <w:rsid w:val="001A1FA0"/>
    <w:rsid w:val="001A235A"/>
    <w:rsid w:val="001B1E20"/>
    <w:rsid w:val="001B3E30"/>
    <w:rsid w:val="001B6492"/>
    <w:rsid w:val="001B7361"/>
    <w:rsid w:val="001C0C1E"/>
    <w:rsid w:val="001C0F98"/>
    <w:rsid w:val="001C41D5"/>
    <w:rsid w:val="001C7369"/>
    <w:rsid w:val="001D0260"/>
    <w:rsid w:val="001D0636"/>
    <w:rsid w:val="001D1B66"/>
    <w:rsid w:val="001D2803"/>
    <w:rsid w:val="001E28FC"/>
    <w:rsid w:val="001E5129"/>
    <w:rsid w:val="001F054E"/>
    <w:rsid w:val="001F7124"/>
    <w:rsid w:val="00202A3A"/>
    <w:rsid w:val="00204ED5"/>
    <w:rsid w:val="00207239"/>
    <w:rsid w:val="002217C7"/>
    <w:rsid w:val="00221BA6"/>
    <w:rsid w:val="0022555D"/>
    <w:rsid w:val="00226232"/>
    <w:rsid w:val="002470D9"/>
    <w:rsid w:val="00247299"/>
    <w:rsid w:val="00247C2F"/>
    <w:rsid w:val="00255808"/>
    <w:rsid w:val="00255B29"/>
    <w:rsid w:val="002607A6"/>
    <w:rsid w:val="0026403D"/>
    <w:rsid w:val="0027368B"/>
    <w:rsid w:val="00274575"/>
    <w:rsid w:val="0027627F"/>
    <w:rsid w:val="00287A6F"/>
    <w:rsid w:val="0029131B"/>
    <w:rsid w:val="00292586"/>
    <w:rsid w:val="002A32FC"/>
    <w:rsid w:val="002A51BA"/>
    <w:rsid w:val="002B0F35"/>
    <w:rsid w:val="002B2EDC"/>
    <w:rsid w:val="002B763E"/>
    <w:rsid w:val="002C0701"/>
    <w:rsid w:val="002C1732"/>
    <w:rsid w:val="002C273D"/>
    <w:rsid w:val="002C3B60"/>
    <w:rsid w:val="002C5346"/>
    <w:rsid w:val="002C564B"/>
    <w:rsid w:val="002D244E"/>
    <w:rsid w:val="002E77EC"/>
    <w:rsid w:val="002F08C9"/>
    <w:rsid w:val="002F1E9D"/>
    <w:rsid w:val="002F6458"/>
    <w:rsid w:val="002F7BE5"/>
    <w:rsid w:val="0030148C"/>
    <w:rsid w:val="00302858"/>
    <w:rsid w:val="00303FBA"/>
    <w:rsid w:val="00310535"/>
    <w:rsid w:val="00312E7C"/>
    <w:rsid w:val="003204CE"/>
    <w:rsid w:val="00321D58"/>
    <w:rsid w:val="00327251"/>
    <w:rsid w:val="00330549"/>
    <w:rsid w:val="00341978"/>
    <w:rsid w:val="003460A8"/>
    <w:rsid w:val="00352A94"/>
    <w:rsid w:val="00352EAE"/>
    <w:rsid w:val="0035489D"/>
    <w:rsid w:val="00362DEF"/>
    <w:rsid w:val="003653EC"/>
    <w:rsid w:val="0037422D"/>
    <w:rsid w:val="00380371"/>
    <w:rsid w:val="00381A09"/>
    <w:rsid w:val="00385516"/>
    <w:rsid w:val="00385FC2"/>
    <w:rsid w:val="003959C6"/>
    <w:rsid w:val="003A5318"/>
    <w:rsid w:val="003A5849"/>
    <w:rsid w:val="003A704D"/>
    <w:rsid w:val="003B076F"/>
    <w:rsid w:val="003B3BE2"/>
    <w:rsid w:val="003C2B95"/>
    <w:rsid w:val="003D1180"/>
    <w:rsid w:val="003D2CA4"/>
    <w:rsid w:val="003D4DCA"/>
    <w:rsid w:val="003F0867"/>
    <w:rsid w:val="003F6A92"/>
    <w:rsid w:val="003F7BBF"/>
    <w:rsid w:val="003F7C66"/>
    <w:rsid w:val="00402A15"/>
    <w:rsid w:val="004164F7"/>
    <w:rsid w:val="00420AE8"/>
    <w:rsid w:val="004249B7"/>
    <w:rsid w:val="004370C9"/>
    <w:rsid w:val="00440671"/>
    <w:rsid w:val="00443810"/>
    <w:rsid w:val="00444B74"/>
    <w:rsid w:val="0045306A"/>
    <w:rsid w:val="00456487"/>
    <w:rsid w:val="00460EA4"/>
    <w:rsid w:val="0046605F"/>
    <w:rsid w:val="004674A7"/>
    <w:rsid w:val="004730CD"/>
    <w:rsid w:val="00493232"/>
    <w:rsid w:val="004A18A4"/>
    <w:rsid w:val="004B2EBC"/>
    <w:rsid w:val="004B7B12"/>
    <w:rsid w:val="004D6A2B"/>
    <w:rsid w:val="004E16B3"/>
    <w:rsid w:val="004F3CF6"/>
    <w:rsid w:val="00511FCD"/>
    <w:rsid w:val="00516E48"/>
    <w:rsid w:val="00522364"/>
    <w:rsid w:val="005233CC"/>
    <w:rsid w:val="00525D05"/>
    <w:rsid w:val="00552AEC"/>
    <w:rsid w:val="005533F6"/>
    <w:rsid w:val="00557C0C"/>
    <w:rsid w:val="00563F0E"/>
    <w:rsid w:val="005776C6"/>
    <w:rsid w:val="00580368"/>
    <w:rsid w:val="00582FCD"/>
    <w:rsid w:val="005837B8"/>
    <w:rsid w:val="00585075"/>
    <w:rsid w:val="005875E9"/>
    <w:rsid w:val="00591F3B"/>
    <w:rsid w:val="00592596"/>
    <w:rsid w:val="005B1CE3"/>
    <w:rsid w:val="005B6619"/>
    <w:rsid w:val="005C2B68"/>
    <w:rsid w:val="005C3541"/>
    <w:rsid w:val="005C4901"/>
    <w:rsid w:val="005C5404"/>
    <w:rsid w:val="005C62AB"/>
    <w:rsid w:val="005D0060"/>
    <w:rsid w:val="005D314A"/>
    <w:rsid w:val="005D36CF"/>
    <w:rsid w:val="005D5849"/>
    <w:rsid w:val="005E09D9"/>
    <w:rsid w:val="005E1790"/>
    <w:rsid w:val="005E3E18"/>
    <w:rsid w:val="005E4AB9"/>
    <w:rsid w:val="005E4C91"/>
    <w:rsid w:val="005E5A56"/>
    <w:rsid w:val="005F0364"/>
    <w:rsid w:val="005F1BA4"/>
    <w:rsid w:val="00602A26"/>
    <w:rsid w:val="00604615"/>
    <w:rsid w:val="006424DD"/>
    <w:rsid w:val="006522C4"/>
    <w:rsid w:val="00654A45"/>
    <w:rsid w:val="00655BF4"/>
    <w:rsid w:val="00655C54"/>
    <w:rsid w:val="0065655C"/>
    <w:rsid w:val="00657F3C"/>
    <w:rsid w:val="006628E1"/>
    <w:rsid w:val="00664542"/>
    <w:rsid w:val="00671E90"/>
    <w:rsid w:val="00676EBE"/>
    <w:rsid w:val="006949DE"/>
    <w:rsid w:val="0069538E"/>
    <w:rsid w:val="0069544A"/>
    <w:rsid w:val="00697AA7"/>
    <w:rsid w:val="00697C70"/>
    <w:rsid w:val="006A2072"/>
    <w:rsid w:val="006A4F99"/>
    <w:rsid w:val="006B14EA"/>
    <w:rsid w:val="006C1D28"/>
    <w:rsid w:val="006C378C"/>
    <w:rsid w:val="006C4BFE"/>
    <w:rsid w:val="006C4DB7"/>
    <w:rsid w:val="006C6713"/>
    <w:rsid w:val="006D1ED6"/>
    <w:rsid w:val="006E2A2F"/>
    <w:rsid w:val="006E5727"/>
    <w:rsid w:val="006F38E8"/>
    <w:rsid w:val="006F50F4"/>
    <w:rsid w:val="00703589"/>
    <w:rsid w:val="00704E3A"/>
    <w:rsid w:val="00705BB2"/>
    <w:rsid w:val="007130D1"/>
    <w:rsid w:val="00716682"/>
    <w:rsid w:val="007174B1"/>
    <w:rsid w:val="00720096"/>
    <w:rsid w:val="007222B0"/>
    <w:rsid w:val="00730EE4"/>
    <w:rsid w:val="007414A5"/>
    <w:rsid w:val="00746A4F"/>
    <w:rsid w:val="007518CD"/>
    <w:rsid w:val="0076077C"/>
    <w:rsid w:val="00765E78"/>
    <w:rsid w:val="00770694"/>
    <w:rsid w:val="00780A65"/>
    <w:rsid w:val="007914B8"/>
    <w:rsid w:val="007A0D0A"/>
    <w:rsid w:val="007A3536"/>
    <w:rsid w:val="007B101A"/>
    <w:rsid w:val="007B4291"/>
    <w:rsid w:val="007B6AA6"/>
    <w:rsid w:val="007B6F29"/>
    <w:rsid w:val="007C425E"/>
    <w:rsid w:val="007D262C"/>
    <w:rsid w:val="007D69E8"/>
    <w:rsid w:val="007E5F8E"/>
    <w:rsid w:val="007F04A8"/>
    <w:rsid w:val="00804864"/>
    <w:rsid w:val="00804F2C"/>
    <w:rsid w:val="00806740"/>
    <w:rsid w:val="00807118"/>
    <w:rsid w:val="00822DA1"/>
    <w:rsid w:val="008248E4"/>
    <w:rsid w:val="0083019D"/>
    <w:rsid w:val="00830C6C"/>
    <w:rsid w:val="008314D7"/>
    <w:rsid w:val="008476FF"/>
    <w:rsid w:val="00862B38"/>
    <w:rsid w:val="00867BFF"/>
    <w:rsid w:val="00875271"/>
    <w:rsid w:val="00875BEE"/>
    <w:rsid w:val="00881990"/>
    <w:rsid w:val="00896DA3"/>
    <w:rsid w:val="008C7498"/>
    <w:rsid w:val="008D3D7A"/>
    <w:rsid w:val="008E3493"/>
    <w:rsid w:val="008E7CC4"/>
    <w:rsid w:val="008F66F1"/>
    <w:rsid w:val="0091207A"/>
    <w:rsid w:val="00913EF4"/>
    <w:rsid w:val="009148B8"/>
    <w:rsid w:val="0093174F"/>
    <w:rsid w:val="009453FD"/>
    <w:rsid w:val="00950A4C"/>
    <w:rsid w:val="00956E4D"/>
    <w:rsid w:val="009605CA"/>
    <w:rsid w:val="009668B2"/>
    <w:rsid w:val="0096728A"/>
    <w:rsid w:val="00967838"/>
    <w:rsid w:val="0097004A"/>
    <w:rsid w:val="00980DC8"/>
    <w:rsid w:val="00985CAB"/>
    <w:rsid w:val="00990EBC"/>
    <w:rsid w:val="00990F9D"/>
    <w:rsid w:val="00990FC1"/>
    <w:rsid w:val="009939A8"/>
    <w:rsid w:val="009B5178"/>
    <w:rsid w:val="009C1ABB"/>
    <w:rsid w:val="009C2A14"/>
    <w:rsid w:val="009C3A51"/>
    <w:rsid w:val="009D0558"/>
    <w:rsid w:val="009D1D71"/>
    <w:rsid w:val="009D21C2"/>
    <w:rsid w:val="009D6C62"/>
    <w:rsid w:val="009E72D3"/>
    <w:rsid w:val="009F1080"/>
    <w:rsid w:val="00A0195B"/>
    <w:rsid w:val="00A070D1"/>
    <w:rsid w:val="00A13D45"/>
    <w:rsid w:val="00A209FA"/>
    <w:rsid w:val="00A35E92"/>
    <w:rsid w:val="00A37A27"/>
    <w:rsid w:val="00A37EEC"/>
    <w:rsid w:val="00A60BD3"/>
    <w:rsid w:val="00A61A54"/>
    <w:rsid w:val="00A74E82"/>
    <w:rsid w:val="00A762EC"/>
    <w:rsid w:val="00A8585B"/>
    <w:rsid w:val="00A8669A"/>
    <w:rsid w:val="00A963D9"/>
    <w:rsid w:val="00AA245C"/>
    <w:rsid w:val="00AA33DD"/>
    <w:rsid w:val="00AB644C"/>
    <w:rsid w:val="00AB6B6D"/>
    <w:rsid w:val="00AB76BD"/>
    <w:rsid w:val="00AD2157"/>
    <w:rsid w:val="00AD6C1A"/>
    <w:rsid w:val="00AE2AA9"/>
    <w:rsid w:val="00AF3264"/>
    <w:rsid w:val="00B01DF6"/>
    <w:rsid w:val="00B03904"/>
    <w:rsid w:val="00B2478F"/>
    <w:rsid w:val="00B27C85"/>
    <w:rsid w:val="00B3342E"/>
    <w:rsid w:val="00B46864"/>
    <w:rsid w:val="00B74A75"/>
    <w:rsid w:val="00B760C0"/>
    <w:rsid w:val="00B77ACD"/>
    <w:rsid w:val="00B81C82"/>
    <w:rsid w:val="00B85331"/>
    <w:rsid w:val="00B90644"/>
    <w:rsid w:val="00BA687E"/>
    <w:rsid w:val="00BB1345"/>
    <w:rsid w:val="00BB147B"/>
    <w:rsid w:val="00BB61D0"/>
    <w:rsid w:val="00BB6AA2"/>
    <w:rsid w:val="00BC0425"/>
    <w:rsid w:val="00BD1B11"/>
    <w:rsid w:val="00BE6F66"/>
    <w:rsid w:val="00BF09D5"/>
    <w:rsid w:val="00BF4909"/>
    <w:rsid w:val="00C21B9C"/>
    <w:rsid w:val="00C26FB0"/>
    <w:rsid w:val="00C35330"/>
    <w:rsid w:val="00C35CD6"/>
    <w:rsid w:val="00C37C61"/>
    <w:rsid w:val="00C430C8"/>
    <w:rsid w:val="00C47817"/>
    <w:rsid w:val="00C50EA3"/>
    <w:rsid w:val="00C5273E"/>
    <w:rsid w:val="00C61171"/>
    <w:rsid w:val="00C620BD"/>
    <w:rsid w:val="00C635F8"/>
    <w:rsid w:val="00C63828"/>
    <w:rsid w:val="00C639ED"/>
    <w:rsid w:val="00C64C66"/>
    <w:rsid w:val="00C70342"/>
    <w:rsid w:val="00C71A76"/>
    <w:rsid w:val="00C74EF0"/>
    <w:rsid w:val="00C76D1F"/>
    <w:rsid w:val="00C81146"/>
    <w:rsid w:val="00C81B97"/>
    <w:rsid w:val="00C93FA3"/>
    <w:rsid w:val="00C97120"/>
    <w:rsid w:val="00CB49A3"/>
    <w:rsid w:val="00CB6601"/>
    <w:rsid w:val="00CB7023"/>
    <w:rsid w:val="00CC17EF"/>
    <w:rsid w:val="00CC434E"/>
    <w:rsid w:val="00CC6317"/>
    <w:rsid w:val="00CD3A73"/>
    <w:rsid w:val="00CD7192"/>
    <w:rsid w:val="00CE3C22"/>
    <w:rsid w:val="00CF208E"/>
    <w:rsid w:val="00CF54C4"/>
    <w:rsid w:val="00D00420"/>
    <w:rsid w:val="00D012EA"/>
    <w:rsid w:val="00D06792"/>
    <w:rsid w:val="00D107B0"/>
    <w:rsid w:val="00D21309"/>
    <w:rsid w:val="00D24D3F"/>
    <w:rsid w:val="00D37830"/>
    <w:rsid w:val="00D40AAC"/>
    <w:rsid w:val="00D41F1C"/>
    <w:rsid w:val="00D42633"/>
    <w:rsid w:val="00D462C0"/>
    <w:rsid w:val="00D471EB"/>
    <w:rsid w:val="00D4796B"/>
    <w:rsid w:val="00D47E18"/>
    <w:rsid w:val="00D54BF0"/>
    <w:rsid w:val="00D61575"/>
    <w:rsid w:val="00D64F33"/>
    <w:rsid w:val="00D72BAF"/>
    <w:rsid w:val="00D85E74"/>
    <w:rsid w:val="00D94DC1"/>
    <w:rsid w:val="00D94FC7"/>
    <w:rsid w:val="00D95A7B"/>
    <w:rsid w:val="00D971FC"/>
    <w:rsid w:val="00D97E81"/>
    <w:rsid w:val="00DA1654"/>
    <w:rsid w:val="00DA6975"/>
    <w:rsid w:val="00DA6F04"/>
    <w:rsid w:val="00DB0AB6"/>
    <w:rsid w:val="00DC51DB"/>
    <w:rsid w:val="00DC6173"/>
    <w:rsid w:val="00DD40BC"/>
    <w:rsid w:val="00DD6C31"/>
    <w:rsid w:val="00DE4853"/>
    <w:rsid w:val="00DE7871"/>
    <w:rsid w:val="00E0101D"/>
    <w:rsid w:val="00E0113A"/>
    <w:rsid w:val="00E03206"/>
    <w:rsid w:val="00E04E1C"/>
    <w:rsid w:val="00E367CB"/>
    <w:rsid w:val="00E41E70"/>
    <w:rsid w:val="00E50339"/>
    <w:rsid w:val="00E50B60"/>
    <w:rsid w:val="00E50D8C"/>
    <w:rsid w:val="00E54847"/>
    <w:rsid w:val="00E54D3D"/>
    <w:rsid w:val="00E566AA"/>
    <w:rsid w:val="00E61217"/>
    <w:rsid w:val="00E66A63"/>
    <w:rsid w:val="00E76B65"/>
    <w:rsid w:val="00E76FA3"/>
    <w:rsid w:val="00E81406"/>
    <w:rsid w:val="00E84903"/>
    <w:rsid w:val="00E91399"/>
    <w:rsid w:val="00E91EC3"/>
    <w:rsid w:val="00E9445F"/>
    <w:rsid w:val="00E95B50"/>
    <w:rsid w:val="00E97715"/>
    <w:rsid w:val="00E978B4"/>
    <w:rsid w:val="00EA0267"/>
    <w:rsid w:val="00EA2A1C"/>
    <w:rsid w:val="00EA5D9B"/>
    <w:rsid w:val="00EA6A45"/>
    <w:rsid w:val="00EB3533"/>
    <w:rsid w:val="00EB4F32"/>
    <w:rsid w:val="00EB671B"/>
    <w:rsid w:val="00EC35F5"/>
    <w:rsid w:val="00EE300D"/>
    <w:rsid w:val="00EE3571"/>
    <w:rsid w:val="00EE5C0C"/>
    <w:rsid w:val="00EE62CD"/>
    <w:rsid w:val="00EE72F0"/>
    <w:rsid w:val="00F0231E"/>
    <w:rsid w:val="00F04BA8"/>
    <w:rsid w:val="00F06688"/>
    <w:rsid w:val="00F1077F"/>
    <w:rsid w:val="00F17013"/>
    <w:rsid w:val="00F21D92"/>
    <w:rsid w:val="00F21FC3"/>
    <w:rsid w:val="00F26727"/>
    <w:rsid w:val="00F41985"/>
    <w:rsid w:val="00F457E9"/>
    <w:rsid w:val="00F459EB"/>
    <w:rsid w:val="00F472A2"/>
    <w:rsid w:val="00F66494"/>
    <w:rsid w:val="00F81C67"/>
    <w:rsid w:val="00F84C56"/>
    <w:rsid w:val="00F9284C"/>
    <w:rsid w:val="00F97B80"/>
    <w:rsid w:val="00FB31E6"/>
    <w:rsid w:val="00FB4D51"/>
    <w:rsid w:val="00FC0249"/>
    <w:rsid w:val="00FC6EC4"/>
    <w:rsid w:val="00FD155C"/>
    <w:rsid w:val="00FD3705"/>
    <w:rsid w:val="00FD69EE"/>
    <w:rsid w:val="00FE228C"/>
    <w:rsid w:val="00FF27C4"/>
    <w:rsid w:val="00FF4973"/>
    <w:rsid w:val="00FF68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5D43907B"/>
  <w15:chartTrackingRefBased/>
  <w15:docId w15:val="{FCFC2A6D-E942-43ED-84DB-9ECA6459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02292"/>
    <w:pPr>
      <w:spacing w:after="0" w:line="240" w:lineRule="auto"/>
    </w:pPr>
    <w:rPr>
      <w:rFonts w:ascii="Georgia" w:eastAsia="Times New Roman" w:hAnsi="Georgia" w:cs="Times New Roman"/>
      <w:sz w:val="19"/>
      <w:szCs w:val="24"/>
      <w:lang w:eastAsia="sv-SE"/>
    </w:rPr>
  </w:style>
  <w:style w:type="paragraph" w:styleId="Rubrik1">
    <w:name w:val="heading 1"/>
    <w:basedOn w:val="Normal"/>
    <w:next w:val="Brdtext"/>
    <w:link w:val="Rubrik1Char"/>
    <w:uiPriority w:val="9"/>
    <w:qFormat/>
    <w:rsid w:val="002A32FC"/>
    <w:pPr>
      <w:keepNext/>
      <w:keepLines/>
      <w:spacing w:before="480" w:after="120"/>
      <w:outlineLvl w:val="0"/>
    </w:pPr>
    <w:rPr>
      <w:rFonts w:eastAsiaTheme="majorEastAsia" w:cstheme="majorBidi"/>
      <w:sz w:val="36"/>
      <w:szCs w:val="32"/>
    </w:rPr>
  </w:style>
  <w:style w:type="paragraph" w:styleId="Rubrik2">
    <w:name w:val="heading 2"/>
    <w:basedOn w:val="Normal"/>
    <w:next w:val="Brdtext"/>
    <w:link w:val="Rubrik2Char"/>
    <w:uiPriority w:val="9"/>
    <w:qFormat/>
    <w:rsid w:val="00913EF4"/>
    <w:pPr>
      <w:keepNext/>
      <w:keepLines/>
      <w:spacing w:before="240"/>
      <w:outlineLvl w:val="1"/>
    </w:pPr>
    <w:rPr>
      <w:rFonts w:eastAsiaTheme="majorEastAsia" w:cstheme="majorBidi"/>
      <w:sz w:val="28"/>
      <w:szCs w:val="26"/>
    </w:rPr>
  </w:style>
  <w:style w:type="paragraph" w:styleId="Rubrik3">
    <w:name w:val="heading 3"/>
    <w:basedOn w:val="Normal"/>
    <w:next w:val="Brdtext"/>
    <w:link w:val="Rubrik3Char"/>
    <w:uiPriority w:val="9"/>
    <w:qFormat/>
    <w:rsid w:val="00913EF4"/>
    <w:pPr>
      <w:keepNext/>
      <w:keepLines/>
      <w:spacing w:before="240"/>
      <w:outlineLvl w:val="2"/>
    </w:pPr>
    <w:rPr>
      <w:rFonts w:eastAsiaTheme="majorEastAsia" w:cstheme="majorBidi"/>
      <w:sz w:val="24"/>
    </w:rPr>
  </w:style>
  <w:style w:type="paragraph" w:styleId="Rubrik4">
    <w:name w:val="heading 4"/>
    <w:aliases w:val="Ärendemening"/>
    <w:basedOn w:val="Normal"/>
    <w:next w:val="Brdtext"/>
    <w:link w:val="Rubrik4Char"/>
    <w:uiPriority w:val="9"/>
    <w:qFormat/>
    <w:rsid w:val="00A0195B"/>
    <w:pPr>
      <w:keepNext/>
      <w:keepLines/>
      <w:spacing w:before="240"/>
      <w:outlineLvl w:val="3"/>
    </w:pPr>
    <w:rPr>
      <w:rFonts w:eastAsiaTheme="majorEastAsia" w:cstheme="majorBidi"/>
      <w:b/>
      <w:iCs/>
    </w:rPr>
  </w:style>
  <w:style w:type="paragraph" w:styleId="Rubrik5">
    <w:name w:val="heading 5"/>
    <w:basedOn w:val="Normal"/>
    <w:next w:val="Brdtext"/>
    <w:link w:val="Rubrik5Char"/>
    <w:uiPriority w:val="9"/>
    <w:semiHidden/>
    <w:qFormat/>
    <w:rsid w:val="00913EF4"/>
    <w:pPr>
      <w:keepNext/>
      <w:keepLines/>
      <w:spacing w:before="520"/>
      <w:outlineLvl w:val="4"/>
    </w:pPr>
    <w:rPr>
      <w:rFonts w:eastAsiaTheme="majorEastAsia" w:cstheme="majorBidi"/>
    </w:rPr>
  </w:style>
  <w:style w:type="paragraph" w:styleId="Rubrik6">
    <w:name w:val="heading 6"/>
    <w:basedOn w:val="Rubrik5"/>
    <w:next w:val="Brdtext"/>
    <w:link w:val="Rubrik6Char"/>
    <w:uiPriority w:val="9"/>
    <w:semiHidden/>
    <w:qFormat/>
    <w:rsid w:val="00913EF4"/>
    <w:pPr>
      <w:outlineLvl w:val="5"/>
    </w:pPr>
    <w:rPr>
      <w:color w:val="333333" w:themeColor="text1"/>
    </w:rPr>
  </w:style>
  <w:style w:type="paragraph" w:styleId="Rubrik7">
    <w:name w:val="heading 7"/>
    <w:basedOn w:val="Rubrik6"/>
    <w:next w:val="Brdtext"/>
    <w:link w:val="Rubrik7Char"/>
    <w:uiPriority w:val="9"/>
    <w:semiHidden/>
    <w:qFormat/>
    <w:rsid w:val="00913EF4"/>
    <w:pPr>
      <w:outlineLvl w:val="6"/>
    </w:pPr>
    <w:rPr>
      <w:iCs/>
    </w:rPr>
  </w:style>
  <w:style w:type="paragraph" w:styleId="Rubrik8">
    <w:name w:val="heading 8"/>
    <w:basedOn w:val="Rubrik7"/>
    <w:next w:val="Brdtext"/>
    <w:link w:val="Rubrik8Char"/>
    <w:uiPriority w:val="9"/>
    <w:semiHidden/>
    <w:qFormat/>
    <w:rsid w:val="00913EF4"/>
    <w:pPr>
      <w:outlineLvl w:val="7"/>
    </w:pPr>
    <w:rPr>
      <w:szCs w:val="21"/>
    </w:rPr>
  </w:style>
  <w:style w:type="paragraph" w:styleId="Rubrik9">
    <w:name w:val="heading 9"/>
    <w:basedOn w:val="Rubrik8"/>
    <w:next w:val="Brdtext"/>
    <w:link w:val="Rubrik9Char"/>
    <w:uiPriority w:val="9"/>
    <w:semiHidden/>
    <w:qFormat/>
    <w:rsid w:val="00913EF4"/>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27368B"/>
    <w:pPr>
      <w:spacing w:after="200" w:line="300" w:lineRule="atLeast"/>
    </w:pPr>
    <w:rPr>
      <w:sz w:val="20"/>
    </w:rPr>
  </w:style>
  <w:style w:type="character" w:customStyle="1" w:styleId="BrdtextChar">
    <w:name w:val="Brödtext Char"/>
    <w:basedOn w:val="Standardstycketeckensnitt"/>
    <w:link w:val="Brdtext"/>
    <w:rsid w:val="0027368B"/>
    <w:rPr>
      <w:sz w:val="20"/>
    </w:rPr>
  </w:style>
  <w:style w:type="paragraph" w:styleId="Punktlista">
    <w:name w:val="List Bullet"/>
    <w:basedOn w:val="Normal"/>
    <w:qFormat/>
    <w:rsid w:val="006D1ED6"/>
    <w:pPr>
      <w:numPr>
        <w:numId w:val="10"/>
      </w:numPr>
      <w:spacing w:after="120" w:line="300" w:lineRule="atLeast"/>
    </w:pPr>
    <w:rPr>
      <w:sz w:val="20"/>
    </w:rPr>
  </w:style>
  <w:style w:type="paragraph" w:customStyle="1" w:styleId="Nummerlista">
    <w:name w:val="Nummerlista"/>
    <w:basedOn w:val="Brdtext"/>
    <w:semiHidden/>
    <w:qFormat/>
    <w:rsid w:val="00083051"/>
    <w:pPr>
      <w:numPr>
        <w:numId w:val="7"/>
      </w:numPr>
      <w:contextualSpacing/>
    </w:pPr>
  </w:style>
  <w:style w:type="character" w:customStyle="1" w:styleId="Rubrik1Char">
    <w:name w:val="Rubrik 1 Char"/>
    <w:basedOn w:val="Standardstycketeckensnitt"/>
    <w:link w:val="Rubrik1"/>
    <w:uiPriority w:val="9"/>
    <w:rsid w:val="002A32FC"/>
    <w:rPr>
      <w:rFonts w:eastAsiaTheme="majorEastAsia" w:cstheme="majorBidi"/>
      <w:sz w:val="36"/>
      <w:szCs w:val="32"/>
    </w:rPr>
  </w:style>
  <w:style w:type="character" w:customStyle="1" w:styleId="Rubrik2Char">
    <w:name w:val="Rubrik 2 Char"/>
    <w:basedOn w:val="Standardstycketeckensnitt"/>
    <w:link w:val="Rubrik2"/>
    <w:uiPriority w:val="9"/>
    <w:rsid w:val="00913EF4"/>
    <w:rPr>
      <w:rFonts w:eastAsiaTheme="majorEastAsia" w:cstheme="majorBidi"/>
      <w:sz w:val="28"/>
      <w:szCs w:val="26"/>
    </w:rPr>
  </w:style>
  <w:style w:type="character" w:customStyle="1" w:styleId="Rubrik3Char">
    <w:name w:val="Rubrik 3 Char"/>
    <w:basedOn w:val="Standardstycketeckensnitt"/>
    <w:link w:val="Rubrik3"/>
    <w:uiPriority w:val="9"/>
    <w:rsid w:val="00913EF4"/>
    <w:rPr>
      <w:rFonts w:eastAsiaTheme="majorEastAsia" w:cstheme="majorBidi"/>
      <w:sz w:val="24"/>
      <w:szCs w:val="24"/>
    </w:rPr>
  </w:style>
  <w:style w:type="character" w:customStyle="1" w:styleId="Rubrik4Char">
    <w:name w:val="Rubrik 4 Char"/>
    <w:aliases w:val="Ärendemening Char"/>
    <w:basedOn w:val="Standardstycketeckensnitt"/>
    <w:link w:val="Rubrik4"/>
    <w:uiPriority w:val="9"/>
    <w:rsid w:val="00A0195B"/>
    <w:rPr>
      <w:rFonts w:eastAsiaTheme="majorEastAsia" w:cstheme="majorBidi"/>
      <w:b/>
      <w:iCs/>
      <w:sz w:val="19"/>
    </w:rPr>
  </w:style>
  <w:style w:type="paragraph" w:customStyle="1" w:styleId="Tabelltext">
    <w:name w:val="Tabelltext"/>
    <w:basedOn w:val="Normal"/>
    <w:qFormat/>
    <w:rsid w:val="002470D9"/>
    <w:rPr>
      <w:rFonts w:asciiTheme="majorHAnsi" w:hAnsiTheme="majorHAnsi"/>
      <w:sz w:val="14"/>
    </w:rPr>
  </w:style>
  <w:style w:type="character" w:customStyle="1" w:styleId="Rubrik5Char">
    <w:name w:val="Rubrik 5 Char"/>
    <w:basedOn w:val="Standardstycketeckensnitt"/>
    <w:link w:val="Rubrik5"/>
    <w:uiPriority w:val="9"/>
    <w:semiHidden/>
    <w:rsid w:val="00913EF4"/>
    <w:rPr>
      <w:rFonts w:eastAsiaTheme="majorEastAsia" w:cstheme="majorBidi"/>
      <w:sz w:val="19"/>
    </w:rPr>
  </w:style>
  <w:style w:type="character" w:customStyle="1" w:styleId="Rubrik6Char">
    <w:name w:val="Rubrik 6 Char"/>
    <w:basedOn w:val="Standardstycketeckensnitt"/>
    <w:link w:val="Rubrik6"/>
    <w:uiPriority w:val="9"/>
    <w:semiHidden/>
    <w:rsid w:val="00913EF4"/>
    <w:rPr>
      <w:rFonts w:eastAsiaTheme="majorEastAsia" w:cstheme="majorBidi"/>
      <w:color w:val="333333" w:themeColor="text1"/>
      <w:sz w:val="19"/>
    </w:rPr>
  </w:style>
  <w:style w:type="character" w:customStyle="1" w:styleId="Rubrik7Char">
    <w:name w:val="Rubrik 7 Char"/>
    <w:basedOn w:val="Standardstycketeckensnitt"/>
    <w:link w:val="Rubrik7"/>
    <w:uiPriority w:val="9"/>
    <w:semiHidden/>
    <w:rsid w:val="00913EF4"/>
    <w:rPr>
      <w:rFonts w:eastAsiaTheme="majorEastAsia" w:cstheme="majorBidi"/>
      <w:iCs/>
      <w:color w:val="333333" w:themeColor="text1"/>
      <w:sz w:val="19"/>
    </w:rPr>
  </w:style>
  <w:style w:type="character" w:customStyle="1" w:styleId="Rubrik8Char">
    <w:name w:val="Rubrik 8 Char"/>
    <w:basedOn w:val="Standardstycketeckensnitt"/>
    <w:link w:val="Rubrik8"/>
    <w:uiPriority w:val="9"/>
    <w:semiHidden/>
    <w:rsid w:val="00913EF4"/>
    <w:rPr>
      <w:rFonts w:eastAsiaTheme="majorEastAsia" w:cstheme="majorBidi"/>
      <w:iCs/>
      <w:color w:val="333333" w:themeColor="text1"/>
      <w:sz w:val="19"/>
      <w:szCs w:val="21"/>
    </w:rPr>
  </w:style>
  <w:style w:type="character" w:customStyle="1" w:styleId="Rubrik9Char">
    <w:name w:val="Rubrik 9 Char"/>
    <w:basedOn w:val="Standardstycketeckensnitt"/>
    <w:link w:val="Rubrik9"/>
    <w:uiPriority w:val="9"/>
    <w:semiHidden/>
    <w:rsid w:val="00913EF4"/>
    <w:rPr>
      <w:rFonts w:eastAsiaTheme="majorEastAsia" w:cstheme="majorBidi"/>
      <w:color w:val="333333" w:themeColor="text1"/>
      <w:sz w:val="19"/>
      <w:szCs w:val="21"/>
    </w:rPr>
  </w:style>
  <w:style w:type="paragraph" w:styleId="Ballongtext">
    <w:name w:val="Balloon Text"/>
    <w:basedOn w:val="Normal"/>
    <w:link w:val="BallongtextChar"/>
    <w:uiPriority w:val="99"/>
    <w:semiHidden/>
    <w:unhideWhenUsed/>
    <w:rsid w:val="0029131B"/>
    <w:rPr>
      <w:rFonts w:ascii="Tahoma" w:hAnsi="Tahoma" w:cs="Segoe UI"/>
      <w:sz w:val="16"/>
      <w:szCs w:val="18"/>
    </w:rPr>
  </w:style>
  <w:style w:type="character" w:customStyle="1" w:styleId="BallongtextChar">
    <w:name w:val="Ballongtext Char"/>
    <w:basedOn w:val="Standardstycketeckensnitt"/>
    <w:link w:val="Ballongtext"/>
    <w:uiPriority w:val="99"/>
    <w:semiHidden/>
    <w:rsid w:val="0029131B"/>
    <w:rPr>
      <w:rFonts w:ascii="Tahoma" w:hAnsi="Tahoma" w:cs="Segoe UI"/>
      <w:sz w:val="16"/>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customStyle="1" w:styleId="Tabell">
    <w:name w:val="Tabell"/>
    <w:basedOn w:val="Normaltabell"/>
    <w:uiPriority w:val="99"/>
    <w:rsid w:val="00DC51DB"/>
    <w:pPr>
      <w:spacing w:before="40" w:after="40" w:line="240" w:lineRule="auto"/>
    </w:pPr>
    <w:rPr>
      <w:rFonts w:asciiTheme="majorHAnsi" w:eastAsia="Times New Roman" w:hAnsiTheme="majorHAnsi" w:cs="Times New Roman"/>
      <w:sz w:val="16"/>
      <w:szCs w:val="20"/>
      <w:lang w:eastAsia="sv-SE"/>
    </w:rPr>
    <w:tblPr>
      <w:tblStyleRowBandSize w:val="1"/>
      <w:tblStyleColBandSize w:val="1"/>
      <w:tblBorders>
        <w:bottom w:val="single" w:sz="8" w:space="0" w:color="auto"/>
      </w:tblBorders>
    </w:tblPr>
    <w:trPr>
      <w:cantSplit/>
    </w:trPr>
    <w:tcPr>
      <w:shd w:val="clear" w:color="auto" w:fill="FFFFFF" w:themeFill="background1"/>
    </w:tcPr>
    <w:tblStylePr w:type="firstRow">
      <w:pPr>
        <w:keepNext/>
        <w:wordWrap/>
      </w:pPr>
      <w:rPr>
        <w:rFonts w:asciiTheme="majorHAnsi" w:hAnsiTheme="majorHAnsi"/>
        <w:b/>
        <w:sz w:val="18"/>
      </w:rPr>
      <w:tblPr/>
      <w:trPr>
        <w:tblHeader/>
      </w:trPr>
      <w:tcPr>
        <w:tcBorders>
          <w:top w:val="single" w:sz="8" w:space="0" w:color="auto"/>
          <w:left w:val="nil"/>
          <w:bottom w:val="single" w:sz="8" w:space="0" w:color="auto"/>
          <w:right w:val="nil"/>
          <w:insideH w:val="nil"/>
          <w:insideV w:val="nil"/>
          <w:tl2br w:val="nil"/>
          <w:tr2bl w:val="nil"/>
        </w:tcBorders>
      </w:tcPr>
    </w:tblStylePr>
    <w:tblStylePr w:type="lastRow">
      <w:rPr>
        <w:rFonts w:asciiTheme="majorHAnsi" w:hAnsiTheme="majorHAnsi"/>
        <w:b/>
      </w:rPr>
    </w:tblStylePr>
    <w:tblStylePr w:type="firstCol">
      <w:rPr>
        <w:rFonts w:asciiTheme="majorHAnsi" w:hAnsiTheme="majorHAnsi"/>
      </w:rPr>
    </w:tblStylePr>
    <w:tblStylePr w:type="lastCol">
      <w:rPr>
        <w:rFonts w:asciiTheme="majorHAnsi" w:hAnsiTheme="majorHAnsi"/>
      </w:rPr>
    </w:tblStylePr>
    <w:tblStylePr w:type="band1Vert">
      <w:rPr>
        <w:rFonts w:asciiTheme="majorHAnsi" w:hAnsiTheme="majorHAnsi"/>
      </w:rPr>
    </w:tblStylePr>
    <w:tblStylePr w:type="band2Vert">
      <w:rPr>
        <w:rFonts w:asciiTheme="majorHAnsi" w:hAnsiTheme="majorHAnsi"/>
      </w:rPr>
    </w:tblStylePr>
    <w:tblStylePr w:type="band1Horz">
      <w:rPr>
        <w:rFonts w:asciiTheme="majorHAnsi" w:hAnsiTheme="majorHAnsi"/>
      </w:rPr>
    </w:tblStyle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13EF4"/>
    <w:pPr>
      <w:tabs>
        <w:tab w:val="right" w:leader="dot" w:pos="7258"/>
      </w:tabs>
      <w:spacing w:before="560" w:after="240" w:line="300" w:lineRule="atLeast"/>
      <w:ind w:left="482" w:right="284" w:hanging="482"/>
    </w:pPr>
    <w:rPr>
      <w:sz w:val="20"/>
    </w:rPr>
  </w:style>
  <w:style w:type="paragraph" w:styleId="Innehll2">
    <w:name w:val="toc 2"/>
    <w:basedOn w:val="Normal"/>
    <w:next w:val="Normal"/>
    <w:uiPriority w:val="39"/>
    <w:semiHidden/>
    <w:rsid w:val="00913EF4"/>
    <w:pPr>
      <w:tabs>
        <w:tab w:val="left" w:pos="1134"/>
        <w:tab w:val="right" w:pos="7258"/>
      </w:tabs>
      <w:spacing w:line="300" w:lineRule="atLeast"/>
      <w:ind w:left="1134" w:right="284" w:hanging="652"/>
    </w:pPr>
    <w:rPr>
      <w:i/>
      <w:sz w:val="20"/>
    </w:rPr>
  </w:style>
  <w:style w:type="paragraph" w:styleId="Innehll3">
    <w:name w:val="toc 3"/>
    <w:basedOn w:val="Normal"/>
    <w:next w:val="Normal"/>
    <w:uiPriority w:val="39"/>
    <w:semiHidden/>
    <w:rsid w:val="00913EF4"/>
    <w:pPr>
      <w:tabs>
        <w:tab w:val="left" w:pos="1134"/>
        <w:tab w:val="right" w:pos="7258"/>
      </w:tabs>
      <w:spacing w:line="300" w:lineRule="atLeast"/>
      <w:ind w:left="1871" w:right="284" w:hanging="737"/>
    </w:pPr>
    <w:rPr>
      <w:i/>
      <w:sz w:val="20"/>
    </w:rPr>
  </w:style>
  <w:style w:type="paragraph" w:styleId="Innehll4">
    <w:name w:val="toc 4"/>
    <w:basedOn w:val="Normal"/>
    <w:next w:val="Normal"/>
    <w:autoRedefine/>
    <w:uiPriority w:val="39"/>
    <w:semiHidden/>
    <w:rsid w:val="00913EF4"/>
    <w:pPr>
      <w:ind w:left="1871"/>
    </w:pPr>
    <w:rPr>
      <w:i/>
      <w:sz w:val="20"/>
    </w:rPr>
  </w:style>
  <w:style w:type="paragraph" w:styleId="Innehll5">
    <w:name w:val="toc 5"/>
    <w:basedOn w:val="Normal"/>
    <w:next w:val="Normal"/>
    <w:autoRedefine/>
    <w:uiPriority w:val="39"/>
    <w:semiHidden/>
    <w:rsid w:val="00913EF4"/>
    <w:pPr>
      <w:ind w:left="2041"/>
    </w:pPr>
    <w:rPr>
      <w:i/>
      <w:sz w:val="20"/>
    </w:rPr>
  </w:style>
  <w:style w:type="paragraph" w:styleId="Innehll6">
    <w:name w:val="toc 6"/>
    <w:basedOn w:val="Normal"/>
    <w:next w:val="Normal"/>
    <w:autoRedefine/>
    <w:uiPriority w:val="39"/>
    <w:semiHidden/>
    <w:rsid w:val="00913EF4"/>
    <w:pPr>
      <w:ind w:left="2211"/>
    </w:pPr>
    <w:rPr>
      <w:i/>
      <w:sz w:val="20"/>
    </w:rPr>
  </w:style>
  <w:style w:type="paragraph" w:styleId="Innehll7">
    <w:name w:val="toc 7"/>
    <w:basedOn w:val="Normal"/>
    <w:next w:val="Normal"/>
    <w:autoRedefine/>
    <w:uiPriority w:val="39"/>
    <w:semiHidden/>
    <w:rsid w:val="00913EF4"/>
    <w:pPr>
      <w:ind w:left="2381"/>
    </w:pPr>
    <w:rPr>
      <w:i/>
      <w:sz w:val="20"/>
    </w:rPr>
  </w:style>
  <w:style w:type="paragraph" w:styleId="Innehll8">
    <w:name w:val="toc 8"/>
    <w:basedOn w:val="Normal"/>
    <w:next w:val="Normal"/>
    <w:autoRedefine/>
    <w:uiPriority w:val="39"/>
    <w:semiHidden/>
    <w:rsid w:val="00913EF4"/>
    <w:pPr>
      <w:ind w:left="2552"/>
    </w:pPr>
    <w:rPr>
      <w:i/>
      <w:sz w:val="20"/>
    </w:rPr>
  </w:style>
  <w:style w:type="paragraph" w:styleId="Innehll9">
    <w:name w:val="toc 9"/>
    <w:basedOn w:val="Normal"/>
    <w:next w:val="Normal"/>
    <w:autoRedefine/>
    <w:uiPriority w:val="39"/>
    <w:semiHidden/>
    <w:rsid w:val="00913EF4"/>
    <w:pPr>
      <w:ind w:left="2722"/>
    </w:pPr>
    <w:rPr>
      <w:i/>
      <w:sz w:val="20"/>
    </w:rPr>
  </w:style>
  <w:style w:type="paragraph" w:customStyle="1" w:styleId="Ledtext">
    <w:name w:val="Ledtext"/>
    <w:basedOn w:val="Normal"/>
    <w:semiHidden/>
    <w:rsid w:val="001C0C1E"/>
    <w:rPr>
      <w:rFonts w:asciiTheme="majorHAnsi" w:hAnsiTheme="majorHAnsi"/>
      <w:caps/>
      <w:color w:val="565656" w:themeColor="text2"/>
      <w:sz w:val="13"/>
    </w:rPr>
  </w:style>
  <w:style w:type="paragraph" w:customStyle="1" w:styleId="Instruktionstext">
    <w:name w:val="Instruktionstext"/>
    <w:basedOn w:val="Brdtext"/>
    <w:semiHidden/>
    <w:rsid w:val="009C1ABB"/>
    <w:rPr>
      <w:i/>
      <w:vanish/>
      <w:color w:val="0000FF"/>
    </w:rPr>
  </w:style>
  <w:style w:type="paragraph" w:customStyle="1" w:styleId="Hlsningsfras">
    <w:name w:val="Hälsningsfras"/>
    <w:basedOn w:val="Brdtext"/>
    <w:next w:val="Brdtext"/>
    <w:semiHidden/>
    <w:rsid w:val="009C1ABB"/>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semiHidden/>
    <w:rsid w:val="007D262C"/>
    <w:pPr>
      <w:spacing w:after="40"/>
    </w:pPr>
    <w:rPr>
      <w:sz w:val="13"/>
      <w:szCs w:val="20"/>
    </w:rPr>
  </w:style>
  <w:style w:type="character" w:customStyle="1" w:styleId="FotnotstextChar">
    <w:name w:val="Fotnotstext Char"/>
    <w:basedOn w:val="Standardstycketeckensnitt"/>
    <w:link w:val="Fotnotstext"/>
    <w:semiHidden/>
    <w:rsid w:val="007D262C"/>
    <w:rPr>
      <w:sz w:val="13"/>
      <w:szCs w:val="20"/>
    </w:rPr>
  </w:style>
  <w:style w:type="paragraph" w:styleId="Sidfot">
    <w:name w:val="footer"/>
    <w:basedOn w:val="Normal"/>
    <w:link w:val="SidfotChar"/>
    <w:semiHidden/>
    <w:rsid w:val="0029131B"/>
    <w:rPr>
      <w:sz w:val="20"/>
    </w:rPr>
  </w:style>
  <w:style w:type="character" w:customStyle="1" w:styleId="SidfotChar">
    <w:name w:val="Sidfot Char"/>
    <w:basedOn w:val="Standardstycketeckensnitt"/>
    <w:link w:val="Sidfot"/>
    <w:semiHidden/>
    <w:rsid w:val="0029131B"/>
    <w:rPr>
      <w:sz w:val="20"/>
    </w:rPr>
  </w:style>
  <w:style w:type="paragraph" w:customStyle="1" w:styleId="Dokumentkategori">
    <w:name w:val="Dokumentkategori"/>
    <w:basedOn w:val="Handlggare"/>
    <w:semiHidden/>
    <w:rsid w:val="002217C7"/>
    <w:rPr>
      <w:rFonts w:asciiTheme="majorHAnsi" w:hAnsiTheme="majorHAnsi"/>
      <w:caps/>
      <w:color w:val="565656" w:themeColor="text2"/>
      <w:spacing w:val="10"/>
      <w:sz w:val="22"/>
    </w:rPr>
  </w:style>
  <w:style w:type="paragraph" w:customStyle="1" w:styleId="Sidfotstext">
    <w:name w:val="Sidfotstext"/>
    <w:basedOn w:val="Sidfot"/>
    <w:semiHidden/>
    <w:rsid w:val="00202A3A"/>
    <w:pPr>
      <w:spacing w:line="190" w:lineRule="atLeast"/>
    </w:pPr>
    <w:rPr>
      <w:rFonts w:asciiTheme="majorHAnsi" w:hAnsiTheme="majorHAnsi"/>
      <w:caps/>
      <w:spacing w:val="10"/>
      <w:sz w:val="16"/>
    </w:rPr>
  </w:style>
  <w:style w:type="paragraph" w:customStyle="1" w:styleId="Sidhuvudstext">
    <w:name w:val="Sidhuvudstext"/>
    <w:basedOn w:val="Normal"/>
    <w:semiHidden/>
    <w:rsid w:val="00202A3A"/>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Brdtext"/>
    <w:link w:val="CitatChar"/>
    <w:uiPriority w:val="29"/>
    <w:rsid w:val="0029131B"/>
    <w:pPr>
      <w:ind w:left="425" w:right="851"/>
    </w:pPr>
    <w:rPr>
      <w:i/>
      <w:iCs/>
    </w:rPr>
  </w:style>
  <w:style w:type="character" w:customStyle="1" w:styleId="CitatChar">
    <w:name w:val="Citat Char"/>
    <w:basedOn w:val="Standardstycketeckensnitt"/>
    <w:link w:val="Citat"/>
    <w:uiPriority w:val="29"/>
    <w:rsid w:val="00247C2F"/>
    <w:rPr>
      <w:i/>
      <w:iCs/>
      <w:sz w:val="20"/>
    </w:rPr>
  </w:style>
  <w:style w:type="paragraph" w:styleId="Sidhuvud">
    <w:name w:val="header"/>
    <w:basedOn w:val="Normal"/>
    <w:link w:val="SidhuvudChar"/>
    <w:semiHidden/>
    <w:rsid w:val="0029131B"/>
    <w:rPr>
      <w:sz w:val="20"/>
    </w:rPr>
  </w:style>
  <w:style w:type="character" w:customStyle="1" w:styleId="SidhuvudChar">
    <w:name w:val="Sidhuvud Char"/>
    <w:basedOn w:val="Standardstycketeckensnitt"/>
    <w:link w:val="Sidhuvud"/>
    <w:semiHidden/>
    <w:rsid w:val="0029131B"/>
    <w:rPr>
      <w:sz w:val="20"/>
    </w:rPr>
  </w:style>
  <w:style w:type="paragraph" w:styleId="Beskrivning">
    <w:name w:val="caption"/>
    <w:basedOn w:val="Normal"/>
    <w:next w:val="Normal"/>
    <w:uiPriority w:val="35"/>
    <w:qFormat/>
    <w:rsid w:val="0029131B"/>
    <w:pPr>
      <w:spacing w:before="480" w:after="120"/>
    </w:pPr>
    <w:rPr>
      <w:iCs/>
      <w:sz w:val="16"/>
      <w:szCs w:val="18"/>
    </w:rPr>
  </w:style>
  <w:style w:type="character" w:styleId="Hyperlnk">
    <w:name w:val="Hyperlink"/>
    <w:basedOn w:val="Standardstycketeckensnitt"/>
    <w:uiPriority w:val="99"/>
    <w:rsid w:val="001D2803"/>
    <w:rPr>
      <w:color w:val="1D6684" w:themeColor="hyperlink"/>
      <w:u w:val="single"/>
    </w:rPr>
  </w:style>
  <w:style w:type="paragraph" w:styleId="Figurfrteckning">
    <w:name w:val="table of figures"/>
    <w:basedOn w:val="Normal"/>
    <w:next w:val="Normal"/>
    <w:uiPriority w:val="99"/>
    <w:rsid w:val="00AA245C"/>
    <w:pPr>
      <w:spacing w:after="60"/>
    </w:pPr>
    <w:rPr>
      <w:sz w:val="20"/>
    </w:rPr>
  </w:style>
  <w:style w:type="paragraph" w:customStyle="1" w:styleId="Klla">
    <w:name w:val="Källa"/>
    <w:basedOn w:val="Brdtext"/>
    <w:next w:val="Brdtext"/>
    <w:semiHidden/>
    <w:rsid w:val="0029131B"/>
    <w:pPr>
      <w:spacing w:after="480" w:line="240" w:lineRule="atLeast"/>
    </w:pPr>
    <w:rPr>
      <w:noProof/>
      <w:sz w:val="13"/>
      <w:lang w:val="en-US"/>
    </w:rPr>
  </w:style>
  <w:style w:type="paragraph" w:customStyle="1" w:styleId="Referenser">
    <w:name w:val="Referenser"/>
    <w:basedOn w:val="Brdtext"/>
    <w:semiHidden/>
    <w:rsid w:val="0029131B"/>
    <w:pPr>
      <w:spacing w:after="120" w:line="270" w:lineRule="atLeast"/>
      <w:ind w:left="425" w:hanging="425"/>
    </w:pPr>
  </w:style>
  <w:style w:type="paragraph" w:styleId="Numreradlista">
    <w:name w:val="List Number"/>
    <w:basedOn w:val="Normal"/>
    <w:qFormat/>
    <w:rsid w:val="006D1ED6"/>
    <w:pPr>
      <w:numPr>
        <w:numId w:val="12"/>
      </w:numPr>
      <w:spacing w:after="120" w:line="300" w:lineRule="atLeast"/>
    </w:pPr>
    <w:rPr>
      <w:sz w:val="20"/>
    </w:rPr>
  </w:style>
  <w:style w:type="table" w:customStyle="1" w:styleId="SvKTabellformat">
    <w:name w:val="SvK_Tabellformat"/>
    <w:basedOn w:val="Normaltabell"/>
    <w:rsid w:val="00CE3C22"/>
    <w:pPr>
      <w:spacing w:after="0" w:line="240" w:lineRule="auto"/>
    </w:pPr>
    <w:rPr>
      <w:rFonts w:asciiTheme="majorHAnsi" w:eastAsia="Times New Roman" w:hAnsiTheme="majorHAnsi" w:cs="Times New Roman"/>
      <w:sz w:val="16"/>
      <w:szCs w:val="20"/>
      <w:lang w:eastAsia="sv-SE"/>
    </w:rPr>
    <w:tblPr>
      <w:tblStyleColBandSize w:val="1"/>
      <w:tblBorders>
        <w:left w:val="single" w:sz="48" w:space="0" w:color="FFFFFF"/>
        <w:right w:val="single" w:sz="48" w:space="0" w:color="FFFFFF"/>
        <w:insideH w:val="single" w:sz="2" w:space="0" w:color="auto"/>
        <w:insideV w:val="single" w:sz="48" w:space="0" w:color="FFFFFF"/>
      </w:tblBorders>
      <w:tblCellMar>
        <w:top w:w="142" w:type="dxa"/>
        <w:left w:w="0" w:type="dxa"/>
        <w:bottom w:w="57" w:type="dxa"/>
        <w:right w:w="0" w:type="dxa"/>
      </w:tblCellMar>
    </w:tblPr>
    <w:trPr>
      <w:cantSplit/>
    </w:trPr>
    <w:tblStylePr w:type="firstRow">
      <w:pPr>
        <w:keepNext/>
        <w:wordWrap/>
      </w:pPr>
      <w:tblPr/>
      <w:trPr>
        <w:cantSplit w:val="0"/>
        <w:tblHeader/>
      </w:trPr>
      <w:tcPr>
        <w:tcBorders>
          <w:bottom w:val="single" w:sz="18" w:space="0" w:color="000000"/>
        </w:tcBorders>
      </w:tcPr>
    </w:tblStylePr>
  </w:style>
  <w:style w:type="paragraph" w:customStyle="1" w:styleId="Handlggare">
    <w:name w:val="Handläggare"/>
    <w:basedOn w:val="Normal"/>
    <w:semiHidden/>
    <w:qFormat/>
    <w:rsid w:val="002217C7"/>
  </w:style>
  <w:style w:type="paragraph" w:customStyle="1" w:styleId="Ifyllnadstext">
    <w:name w:val="Ifyllnadstext"/>
    <w:basedOn w:val="Brdtext"/>
    <w:semiHidden/>
    <w:qFormat/>
    <w:rsid w:val="001F7124"/>
    <w:pPr>
      <w:spacing w:after="60" w:line="260" w:lineRule="atLeast"/>
    </w:pPr>
  </w:style>
  <w:style w:type="paragraph" w:customStyle="1" w:styleId="Namnfrtydligande">
    <w:name w:val="Namnförtydligande"/>
    <w:basedOn w:val="Normal"/>
    <w:semiHidden/>
    <w:qFormat/>
    <w:rsid w:val="002470D9"/>
  </w:style>
  <w:style w:type="character" w:styleId="Platshllartext">
    <w:name w:val="Placeholder Text"/>
    <w:basedOn w:val="Standardstycketeckensnitt"/>
    <w:uiPriority w:val="99"/>
    <w:semiHidden/>
    <w:rsid w:val="005D0060"/>
    <w:rPr>
      <w:color w:val="FF0000"/>
    </w:rPr>
  </w:style>
  <w:style w:type="paragraph" w:customStyle="1" w:styleId="Bilagerubrik1">
    <w:name w:val="Bilagerubrik 1"/>
    <w:basedOn w:val="Rubrik1"/>
    <w:next w:val="Brdtext"/>
    <w:qFormat/>
    <w:rsid w:val="005D0060"/>
    <w:rPr>
      <w:rFonts w:eastAsia="Times New Roman" w:cs="Arial"/>
      <w:bCs/>
      <w:szCs w:val="28"/>
    </w:rPr>
  </w:style>
  <w:style w:type="paragraph" w:customStyle="1" w:styleId="Bilagerubrik2">
    <w:name w:val="Bilagerubrik 2"/>
    <w:basedOn w:val="Normal"/>
    <w:next w:val="Brdtext"/>
    <w:qFormat/>
    <w:rsid w:val="00676EBE"/>
    <w:pPr>
      <w:keepNext/>
      <w:keepLines/>
      <w:spacing w:before="240"/>
    </w:pPr>
    <w:rPr>
      <w:sz w:val="28"/>
    </w:rPr>
  </w:style>
  <w:style w:type="paragraph" w:customStyle="1" w:styleId="Bilagerubrik3">
    <w:name w:val="Bilagerubrik 3"/>
    <w:basedOn w:val="Normal"/>
    <w:next w:val="Brdtext"/>
    <w:qFormat/>
    <w:rsid w:val="00676EBE"/>
    <w:pPr>
      <w:keepNext/>
      <w:keepLines/>
      <w:spacing w:before="240"/>
    </w:pPr>
    <w:rPr>
      <w:sz w:val="24"/>
    </w:rPr>
  </w:style>
  <w:style w:type="paragraph" w:customStyle="1" w:styleId="Orubrik">
    <w:name w:val="Orubrik"/>
    <w:basedOn w:val="Normal"/>
    <w:semiHidden/>
    <w:rsid w:val="00C35330"/>
    <w:rPr>
      <w:rFonts w:cs="Arial"/>
      <w:sz w:val="28"/>
      <w:szCs w:val="28"/>
    </w:rPr>
  </w:style>
  <w:style w:type="paragraph" w:customStyle="1" w:styleId="RubInnehll">
    <w:name w:val="Rub Innehåll"/>
    <w:basedOn w:val="Normal"/>
    <w:semiHidden/>
    <w:rsid w:val="00102292"/>
    <w:rPr>
      <w:rFonts w:cs="Arial"/>
      <w:sz w:val="28"/>
      <w:szCs w:val="28"/>
    </w:rPr>
  </w:style>
  <w:style w:type="character" w:styleId="Sidnummer">
    <w:name w:val="page number"/>
    <w:semiHidden/>
    <w:rsid w:val="00102292"/>
    <w:rPr>
      <w:rFonts w:ascii="Georgia" w:hAnsi="Georgia"/>
      <w:sz w:val="19"/>
    </w:rPr>
  </w:style>
  <w:style w:type="paragraph" w:customStyle="1" w:styleId="Undertitel">
    <w:name w:val="Undertitel"/>
    <w:basedOn w:val="Normal"/>
    <w:next w:val="Normal"/>
    <w:semiHidden/>
    <w:rsid w:val="00102292"/>
    <w:pPr>
      <w:spacing w:after="560" w:line="400" w:lineRule="atLeast"/>
    </w:pPr>
    <w:rPr>
      <w:rFonts w:cs="Arial"/>
      <w:spacing w:val="10"/>
      <w:sz w:val="28"/>
      <w:szCs w:val="32"/>
    </w:rPr>
  </w:style>
  <w:style w:type="paragraph" w:styleId="Numreradlista4">
    <w:name w:val="List Number 4"/>
    <w:basedOn w:val="Normal"/>
    <w:semiHidden/>
    <w:rsid w:val="00102292"/>
    <w:pPr>
      <w:numPr>
        <w:numId w:val="14"/>
      </w:numPr>
    </w:pPr>
  </w:style>
  <w:style w:type="paragraph" w:styleId="Punktlista2">
    <w:name w:val="List Bullet 2"/>
    <w:basedOn w:val="Normal"/>
    <w:semiHidden/>
    <w:rsid w:val="00102292"/>
    <w:pPr>
      <w:tabs>
        <w:tab w:val="num" w:pos="643"/>
      </w:tabs>
      <w:ind w:left="643" w:hanging="360"/>
    </w:pPr>
  </w:style>
  <w:style w:type="character" w:customStyle="1" w:styleId="unicode">
    <w:name w:val="unicode"/>
    <w:basedOn w:val="Standardstycketeckensnitt"/>
    <w:rsid w:val="00102292"/>
  </w:style>
  <w:style w:type="character" w:styleId="Kommentarsreferens">
    <w:name w:val="annotation reference"/>
    <w:uiPriority w:val="99"/>
    <w:unhideWhenUsed/>
    <w:rsid w:val="00102292"/>
    <w:rPr>
      <w:sz w:val="16"/>
      <w:szCs w:val="16"/>
    </w:rPr>
  </w:style>
  <w:style w:type="paragraph" w:styleId="Kommentarer">
    <w:name w:val="annotation text"/>
    <w:basedOn w:val="Normal"/>
    <w:link w:val="KommentarerChar"/>
    <w:uiPriority w:val="99"/>
    <w:unhideWhenUsed/>
    <w:rsid w:val="00102292"/>
    <w:rPr>
      <w:rFonts w:eastAsia="Georgia"/>
      <w:sz w:val="20"/>
      <w:szCs w:val="20"/>
      <w:lang w:val="en-GB" w:eastAsia="en-US"/>
    </w:rPr>
  </w:style>
  <w:style w:type="character" w:customStyle="1" w:styleId="KommentarerChar">
    <w:name w:val="Kommentarer Char"/>
    <w:basedOn w:val="Standardstycketeckensnitt"/>
    <w:link w:val="Kommentarer"/>
    <w:uiPriority w:val="99"/>
    <w:rsid w:val="00102292"/>
    <w:rPr>
      <w:rFonts w:ascii="Georgia" w:eastAsia="Georgia" w:hAnsi="Georgia" w:cs="Times New Roman"/>
      <w:sz w:val="20"/>
      <w:szCs w:val="20"/>
      <w:lang w:val="en-GB"/>
    </w:rPr>
  </w:style>
  <w:style w:type="paragraph" w:styleId="Liststycke">
    <w:name w:val="List Paragraph"/>
    <w:basedOn w:val="Normal"/>
    <w:uiPriority w:val="34"/>
    <w:qFormat/>
    <w:rsid w:val="00102292"/>
    <w:pPr>
      <w:ind w:left="720"/>
      <w:contextualSpacing/>
    </w:pPr>
  </w:style>
  <w:style w:type="paragraph" w:styleId="Kommentarsmne">
    <w:name w:val="annotation subject"/>
    <w:basedOn w:val="Kommentarer"/>
    <w:next w:val="Kommentarer"/>
    <w:link w:val="KommentarsmneChar"/>
    <w:uiPriority w:val="99"/>
    <w:semiHidden/>
    <w:unhideWhenUsed/>
    <w:rsid w:val="005D314A"/>
    <w:rPr>
      <w:rFonts w:eastAsia="Times New Roman"/>
      <w:b/>
      <w:bCs/>
      <w:lang w:val="sv-SE" w:eastAsia="sv-SE"/>
    </w:rPr>
  </w:style>
  <w:style w:type="character" w:customStyle="1" w:styleId="KommentarsmneChar">
    <w:name w:val="Kommentarsämne Char"/>
    <w:basedOn w:val="KommentarerChar"/>
    <w:link w:val="Kommentarsmne"/>
    <w:uiPriority w:val="99"/>
    <w:semiHidden/>
    <w:rsid w:val="005D314A"/>
    <w:rPr>
      <w:rFonts w:ascii="Georgia" w:eastAsia="Times New Roman" w:hAnsi="Georgia" w:cs="Times New Roman"/>
      <w:b/>
      <w:bCs/>
      <w:sz w:val="20"/>
      <w:szCs w:val="20"/>
      <w:lang w:val="en-GB" w:eastAsia="sv-SE"/>
    </w:rPr>
  </w:style>
  <w:style w:type="paragraph" w:styleId="Revision">
    <w:name w:val="Revision"/>
    <w:hidden/>
    <w:uiPriority w:val="99"/>
    <w:semiHidden/>
    <w:rsid w:val="00A74E82"/>
    <w:pPr>
      <w:spacing w:after="0" w:line="240" w:lineRule="auto"/>
    </w:pPr>
    <w:rPr>
      <w:rFonts w:ascii="Georgia" w:eastAsia="Times New Roman" w:hAnsi="Georgia" w:cs="Times New Roman"/>
      <w:sz w:val="19"/>
      <w:szCs w:val="24"/>
      <w:lang w:eastAsia="sv-SE"/>
    </w:rPr>
  </w:style>
  <w:style w:type="paragraph" w:styleId="Normalwebb">
    <w:name w:val="Normal (Web)"/>
    <w:basedOn w:val="Normal"/>
    <w:uiPriority w:val="99"/>
    <w:semiHidden/>
    <w:unhideWhenUsed/>
    <w:rsid w:val="006C4BFE"/>
    <w:pPr>
      <w:spacing w:before="100" w:beforeAutospacing="1" w:after="100" w:afterAutospacing="1"/>
    </w:pPr>
    <w:rPr>
      <w:rFonts w:ascii="Times New Roman" w:eastAsiaTheme="minorEastAsia" w:hAnsi="Times New Roman"/>
      <w:sz w:val="24"/>
    </w:rPr>
  </w:style>
  <w:style w:type="character" w:styleId="AnvndHyperlnk">
    <w:name w:val="FollowedHyperlink"/>
    <w:basedOn w:val="Standardstycketeckensnitt"/>
    <w:uiPriority w:val="99"/>
    <w:semiHidden/>
    <w:unhideWhenUsed/>
    <w:rsid w:val="001B1E20"/>
    <w:rPr>
      <w:color w:val="003F55" w:themeColor="followedHyperlink"/>
      <w:u w:val="single"/>
    </w:rPr>
  </w:style>
  <w:style w:type="paragraph" w:customStyle="1" w:styleId="Default">
    <w:name w:val="Default"/>
    <w:rsid w:val="000A0EB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vk.se/aktorsportalen/systemdrift-elmarknad/information-om-stodtjanster/forkvalificering/" TargetMode="Externa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vK">
  <a:themeElements>
    <a:clrScheme name="SvK">
      <a:dk1>
        <a:srgbClr val="333333"/>
      </a:dk1>
      <a:lt1>
        <a:srgbClr val="FFFFFF"/>
      </a:lt1>
      <a:dk2>
        <a:srgbClr val="565656"/>
      </a:dk2>
      <a:lt2>
        <a:srgbClr val="959595"/>
      </a:lt2>
      <a:accent1>
        <a:srgbClr val="1D599B"/>
      </a:accent1>
      <a:accent2>
        <a:srgbClr val="497633"/>
      </a:accent2>
      <a:accent3>
        <a:srgbClr val="5E256C"/>
      </a:accent3>
      <a:accent4>
        <a:srgbClr val="CA8617"/>
      </a:accent4>
      <a:accent5>
        <a:srgbClr val="B01746"/>
      </a:accent5>
      <a:accent6>
        <a:srgbClr val="363636"/>
      </a:accent6>
      <a:hlink>
        <a:srgbClr val="1D6684"/>
      </a:hlink>
      <a:folHlink>
        <a:srgbClr val="003F55"/>
      </a:folHlink>
    </a:clrScheme>
    <a:fontScheme name="SvK">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7D105-B031-46D3-B0D6-D733C0AB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3717</Words>
  <Characters>20854</Characters>
  <Application>Microsoft Office Word</Application>
  <DocSecurity>0</DocSecurity>
  <Lines>834</Lines>
  <Paragraphs>630</Paragraphs>
  <ScaleCrop>false</ScaleCrop>
  <HeadingPairs>
    <vt:vector size="2" baseType="variant">
      <vt:variant>
        <vt:lpstr>Rubrik</vt:lpstr>
      </vt:variant>
      <vt:variant>
        <vt:i4>1</vt:i4>
      </vt:variant>
    </vt:vector>
  </HeadingPairs>
  <TitlesOfParts>
    <vt:vector size="1" baseType="lpstr">
      <vt:lpstr/>
    </vt:vector>
  </TitlesOfParts>
  <Company>Svenska kraftnät</Company>
  <LinksUpToDate>false</LinksUpToDate>
  <CharactersWithSpaces>23941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Ekestam, Henrik</dc:creator>
  <cp:keywords/>
  <dc:description/>
  <cp:lastModifiedBy>Wästerby, Alva</cp:lastModifiedBy>
  <cp:revision>3</cp:revision>
  <dcterms:created xsi:type="dcterms:W3CDTF">2024-04-18T09:26:00Z</dcterms:created>
  <dcterms:modified xsi:type="dcterms:W3CDTF">2024-04-18T09:26:00Z</dcterms:modified>
</cp:coreProperties>
</file>